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3E5D" w14:textId="77777777" w:rsidR="00EC6915" w:rsidRDefault="00EC6915" w:rsidP="003935ED">
      <w:pPr>
        <w:jc w:val="center"/>
        <w:rPr>
          <w:rStyle w:val="fontstyle01"/>
          <w:rFonts w:hint="default"/>
        </w:rPr>
      </w:pPr>
    </w:p>
    <w:p w14:paraId="3A8996DD" w14:textId="35C64C9F" w:rsidR="00BD2912" w:rsidRPr="003935ED" w:rsidRDefault="00BD2912" w:rsidP="003935ED">
      <w:pPr>
        <w:jc w:val="center"/>
        <w:rPr>
          <w:rStyle w:val="fontstyle01"/>
          <w:rFonts w:ascii="方正小标宋简体" w:eastAsia="方正小标宋简体" w:hAnsi="方正小标宋简体" w:hint="default"/>
        </w:rPr>
      </w:pPr>
      <w:r w:rsidRPr="003935ED">
        <w:rPr>
          <w:rStyle w:val="fontstyle01"/>
          <w:rFonts w:ascii="方正小标宋简体" w:eastAsia="方正小标宋简体" w:hAnsi="方正小标宋简体" w:hint="default"/>
        </w:rPr>
        <w:t>附</w:t>
      </w:r>
      <w:proofErr w:type="gramStart"/>
      <w:r w:rsidR="00EC6915">
        <w:rPr>
          <w:rStyle w:val="fontstyle01"/>
          <w:rFonts w:ascii="方正小标宋简体" w:eastAsia="方正小标宋简体" w:hAnsi="方正小标宋简体" w:hint="default"/>
        </w:rPr>
        <w:t>一</w:t>
      </w:r>
      <w:proofErr w:type="gramEnd"/>
      <w:r w:rsidRPr="003935ED">
        <w:rPr>
          <w:rStyle w:val="fontstyle01"/>
          <w:rFonts w:ascii="方正小标宋简体" w:eastAsia="方正小标宋简体" w:hAnsi="方正小标宋简体" w:hint="default"/>
        </w:rPr>
        <w:t>：“公共健康、创新与知识产权”高端论坛主要内容</w:t>
      </w:r>
    </w:p>
    <w:p w14:paraId="137D7E39" w14:textId="1A3E7CFB" w:rsidR="003935ED" w:rsidRPr="003935ED" w:rsidRDefault="003935ED" w:rsidP="003935ED">
      <w:pPr>
        <w:ind w:firstLineChars="200" w:firstLine="560"/>
        <w:rPr>
          <w:rStyle w:val="fontstyle01"/>
          <w:rFonts w:hint="default"/>
        </w:rPr>
      </w:pPr>
      <w:r w:rsidRPr="003935ED">
        <w:rPr>
          <w:rStyle w:val="fontstyle01"/>
          <w:rFonts w:hint="default"/>
        </w:rPr>
        <w:t>每一板块由学界、实务界、司法界代表作专题发言，每人</w:t>
      </w:r>
      <w:r w:rsidR="00EC6915">
        <w:rPr>
          <w:rStyle w:val="fontstyle01"/>
          <w:rFonts w:hint="default"/>
        </w:rPr>
        <w:t>限</w:t>
      </w:r>
      <w:r w:rsidRPr="003935ED">
        <w:rPr>
          <w:rStyle w:val="fontstyle01"/>
          <w:rFonts w:hint="default"/>
        </w:rPr>
        <w:t>15-20分钟</w:t>
      </w:r>
      <w:r w:rsidR="00EC6915">
        <w:rPr>
          <w:rStyle w:val="fontstyle01"/>
          <w:rFonts w:hint="default"/>
        </w:rPr>
        <w:t>，设立自由发言时间</w:t>
      </w:r>
      <w:r w:rsidRPr="003935ED">
        <w:rPr>
          <w:rStyle w:val="fontstyle01"/>
          <w:rFonts w:hint="default"/>
        </w:rPr>
        <w:t>。</w:t>
      </w:r>
    </w:p>
    <w:p w14:paraId="4B6D6E2E" w14:textId="3C834867" w:rsidR="00BD2912" w:rsidRPr="003935ED" w:rsidRDefault="003935ED" w:rsidP="00BD2912">
      <w:pPr>
        <w:rPr>
          <w:rStyle w:val="fontstyle01"/>
          <w:rFonts w:ascii="黑体" w:eastAsia="黑体" w:hAnsi="黑体" w:hint="default"/>
          <w:b/>
          <w:bCs/>
        </w:rPr>
      </w:pPr>
      <w:r w:rsidRPr="003935ED">
        <w:rPr>
          <w:rStyle w:val="fontstyle01"/>
          <w:rFonts w:ascii="黑体" w:eastAsia="黑体" w:hAnsi="黑体" w:hint="default"/>
          <w:b/>
          <w:bCs/>
        </w:rPr>
        <w:t>第一板块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>、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ab/>
        <w:t>医药数据保护与商业秘密</w:t>
      </w:r>
    </w:p>
    <w:p w14:paraId="4028C901" w14:textId="38D29E6F" w:rsidR="00BD2912" w:rsidRPr="00380F1B" w:rsidRDefault="003935ED" w:rsidP="00BD2912">
      <w:pPr>
        <w:ind w:firstLineChars="200" w:firstLine="560"/>
        <w:rPr>
          <w:rStyle w:val="fontstyle01"/>
          <w:rFonts w:hint="default"/>
        </w:rPr>
      </w:pPr>
      <w:r w:rsidRPr="003935ED">
        <w:rPr>
          <w:rStyle w:val="fontstyle01"/>
          <w:rFonts w:hint="default"/>
        </w:rPr>
        <w:t>随着信息技术的发展，医药数据对医药创新越来越重要，也成为各国医药产业发展竞争的重要资源，尤其是跨境传输</w:t>
      </w:r>
      <w:proofErr w:type="gramStart"/>
      <w:r w:rsidRPr="003935ED">
        <w:rPr>
          <w:rStyle w:val="fontstyle01"/>
          <w:rFonts w:hint="default"/>
        </w:rPr>
        <w:t>医疗大</w:t>
      </w:r>
      <w:proofErr w:type="gramEnd"/>
      <w:r w:rsidRPr="003935ED">
        <w:rPr>
          <w:rStyle w:val="fontstyle01"/>
          <w:rFonts w:hint="default"/>
        </w:rPr>
        <w:t>数据，其知识产权相关问题开始显现。同时，信息技术使得医药商业秘密的形式与内涵变得更加复杂，使得医药商业秘密的确立、保护与维权更为艰难。我国已经颁布了《国家医疗大数据标准、安全和服务管理办法》，同时发布了《健康医疗数据指南》《企业商业秘密管理规范》等。医药数据保护和商业秘密成为了知识产权学界和业内关注的新焦点。</w:t>
      </w:r>
    </w:p>
    <w:p w14:paraId="77B41396" w14:textId="52CFC1B4" w:rsidR="00BD2912" w:rsidRPr="003935ED" w:rsidRDefault="003935ED" w:rsidP="00BD2912">
      <w:pPr>
        <w:rPr>
          <w:rStyle w:val="fontstyle01"/>
          <w:rFonts w:ascii="黑体" w:eastAsia="黑体" w:hAnsi="黑体" w:hint="default"/>
          <w:b/>
          <w:bCs/>
        </w:rPr>
      </w:pPr>
      <w:r w:rsidRPr="003935ED">
        <w:rPr>
          <w:rStyle w:val="fontstyle01"/>
          <w:rFonts w:ascii="黑体" w:eastAsia="黑体" w:hAnsi="黑体" w:hint="default"/>
          <w:b/>
          <w:bCs/>
        </w:rPr>
        <w:t>第二板块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>、药品集中采购中知识产权问题</w:t>
      </w:r>
    </w:p>
    <w:p w14:paraId="3DD9E7D5" w14:textId="77777777" w:rsidR="003935ED" w:rsidRPr="003935ED" w:rsidRDefault="003935ED" w:rsidP="003935ED">
      <w:pPr>
        <w:ind w:firstLineChars="200" w:firstLine="560"/>
        <w:rPr>
          <w:rStyle w:val="fontstyle01"/>
          <w:rFonts w:hint="default"/>
        </w:rPr>
      </w:pPr>
      <w:r w:rsidRPr="003935ED">
        <w:rPr>
          <w:rStyle w:val="fontstyle01"/>
          <w:rFonts w:hint="default"/>
        </w:rPr>
        <w:t>今年1月，国家知识产权局、国家医疗保障局联合印发《关于加强医药集中采购领域知识产权保护的意见》，为了进一步完善医药产品集中采购的知识产权保护机制，构建协调统一的信息共享机制，从源头防范侵权行为发生的要求，鼓励医药领域创新发展，优化营商环境。加强药品集中采购中知识产权保护将有力防范侵权行为发生，促进医药领域创新发展，与公共健康的冲突与协调需要加强研究与关注。</w:t>
      </w:r>
    </w:p>
    <w:p w14:paraId="549F71DC" w14:textId="0D50B690" w:rsidR="00BD2912" w:rsidRPr="003935ED" w:rsidRDefault="003935ED" w:rsidP="00BD2912">
      <w:pPr>
        <w:rPr>
          <w:rStyle w:val="fontstyle01"/>
          <w:rFonts w:ascii="黑体" w:eastAsia="黑体" w:hAnsi="黑体" w:hint="default"/>
          <w:b/>
          <w:bCs/>
        </w:rPr>
      </w:pPr>
      <w:r w:rsidRPr="003935ED">
        <w:rPr>
          <w:rStyle w:val="fontstyle01"/>
          <w:rFonts w:ascii="黑体" w:eastAsia="黑体" w:hAnsi="黑体" w:hint="default"/>
          <w:b/>
          <w:bCs/>
        </w:rPr>
        <w:t>第三板块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>、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ab/>
        <w:t>中药品种保护制度的</w:t>
      </w:r>
      <w:r w:rsidRPr="003935ED">
        <w:rPr>
          <w:rStyle w:val="fontstyle01"/>
          <w:rFonts w:ascii="黑体" w:eastAsia="黑体" w:hAnsi="黑体" w:hint="default"/>
          <w:b/>
          <w:bCs/>
        </w:rPr>
        <w:t>修订与</w:t>
      </w:r>
      <w:r w:rsidR="00BD2912" w:rsidRPr="003935ED">
        <w:rPr>
          <w:rStyle w:val="fontstyle01"/>
          <w:rFonts w:ascii="黑体" w:eastAsia="黑体" w:hAnsi="黑体" w:hint="default"/>
          <w:b/>
          <w:bCs/>
        </w:rPr>
        <w:t>完善</w:t>
      </w:r>
    </w:p>
    <w:p w14:paraId="63402D45" w14:textId="77777777" w:rsidR="003935ED" w:rsidRDefault="003935ED" w:rsidP="003935ED">
      <w:pPr>
        <w:ind w:firstLineChars="200" w:firstLine="560"/>
        <w:rPr>
          <w:rStyle w:val="fontstyle01"/>
          <w:rFonts w:hint="default"/>
        </w:rPr>
      </w:pPr>
      <w:r w:rsidRPr="003935ED">
        <w:rPr>
          <w:rStyle w:val="fontstyle01"/>
          <w:rFonts w:hint="default"/>
        </w:rPr>
        <w:t>以《中药品种保护条例》为主的中药品种保护制度实施了二十余年了，随着中药创新与市场环境的变化，产生了诸多需要解决的法律</w:t>
      </w:r>
      <w:r w:rsidRPr="003935ED">
        <w:rPr>
          <w:rStyle w:val="fontstyle01"/>
          <w:rFonts w:hint="default"/>
        </w:rPr>
        <w:lastRenderedPageBreak/>
        <w:t>问题。目前，国家药监局针对《中药品种保护条例》进行了修订，涉及到《中药品种保护制度》的立法宗旨与目的，《中药品种保护制度》（征求意见稿）建立的机制可行性以及司法实践中的可操作性等。</w:t>
      </w:r>
    </w:p>
    <w:p w14:paraId="3E12D4C8" w14:textId="3B6C42E3" w:rsidR="00BD2912" w:rsidRPr="00DF441B" w:rsidRDefault="003935ED" w:rsidP="00BD2912">
      <w:pPr>
        <w:rPr>
          <w:rStyle w:val="fontstyle01"/>
          <w:rFonts w:ascii="黑体" w:eastAsia="黑体" w:hAnsi="黑体" w:hint="default"/>
          <w:b/>
          <w:bCs/>
        </w:rPr>
      </w:pPr>
      <w:r w:rsidRPr="00DF441B">
        <w:rPr>
          <w:rStyle w:val="fontstyle01"/>
          <w:rFonts w:ascii="黑体" w:eastAsia="黑体" w:hAnsi="黑体" w:hint="default"/>
          <w:b/>
          <w:bCs/>
        </w:rPr>
        <w:t>第四板块</w:t>
      </w:r>
      <w:r w:rsidR="00BD2912" w:rsidRPr="00DF441B">
        <w:rPr>
          <w:rStyle w:val="fontstyle01"/>
          <w:rFonts w:ascii="黑体" w:eastAsia="黑体" w:hAnsi="黑体" w:hint="default"/>
          <w:b/>
          <w:bCs/>
        </w:rPr>
        <w:t>、药品合作开发中的知识产权问题</w:t>
      </w:r>
    </w:p>
    <w:p w14:paraId="217796B8" w14:textId="0DC002D5" w:rsidR="00BD2912" w:rsidRPr="00380F1B" w:rsidRDefault="00BD2912" w:rsidP="00BD2912">
      <w:pPr>
        <w:rPr>
          <w:rStyle w:val="fontstyle01"/>
          <w:rFonts w:hint="default"/>
        </w:rPr>
      </w:pPr>
      <w:r w:rsidRPr="00380F1B">
        <w:rPr>
          <w:rStyle w:val="fontstyle01"/>
          <w:rFonts w:hint="default"/>
        </w:rPr>
        <w:t xml:space="preserve">    </w:t>
      </w:r>
      <w:r w:rsidR="003935ED" w:rsidRPr="003935ED">
        <w:rPr>
          <w:rStyle w:val="fontstyle01"/>
          <w:rFonts w:hint="default"/>
        </w:rPr>
        <w:t>药品研发是高投入、高风险和高回报的经济活动，目前药品研发的合作形式愈趋多样化。药品研发外包、生产外包、服务外包、销售外包贯穿与药品生命周期的全过程，其中技术合同与知识产权问题日趋明显，在药品合作研发中知识产权的权属分配、供应链中的知识产权问题、侵权问题成为广泛关注的对象。</w:t>
      </w:r>
    </w:p>
    <w:p w14:paraId="333FE69C" w14:textId="225F7897" w:rsidR="00F10F95" w:rsidRDefault="00F10F95"/>
    <w:p w14:paraId="3B6885DB" w14:textId="77777777" w:rsidR="00722259" w:rsidRDefault="00722259">
      <w:pPr>
        <w:rPr>
          <w:rFonts w:hint="eastAsia"/>
        </w:rPr>
      </w:pPr>
      <w:bookmarkStart w:id="0" w:name="_GoBack"/>
      <w:bookmarkEnd w:id="0"/>
    </w:p>
    <w:p w14:paraId="7C0A3240" w14:textId="0E38569D" w:rsidR="00EC6915" w:rsidRPr="00EC6915" w:rsidRDefault="00EC6915" w:rsidP="00EC6915">
      <w:pPr>
        <w:ind w:firstLineChars="200" w:firstLine="560"/>
        <w:jc w:val="left"/>
        <w:rPr>
          <w:rStyle w:val="fontstyle01"/>
          <w:rFonts w:ascii="方正小标宋简体" w:eastAsia="方正小标宋简体" w:hAnsi="方正小标宋简体" w:hint="default"/>
        </w:rPr>
      </w:pPr>
      <w:r w:rsidRPr="00EC6915">
        <w:rPr>
          <w:rStyle w:val="fontstyle01"/>
          <w:rFonts w:ascii="方正小标宋简体" w:eastAsia="方正小标宋简体" w:hAnsi="方正小标宋简体" w:hint="default"/>
        </w:rPr>
        <w:t>附二：</w:t>
      </w:r>
    </w:p>
    <w:p w14:paraId="2E36C054" w14:textId="77777777" w:rsidR="00EC6915" w:rsidRDefault="00EC6915" w:rsidP="00EC6915">
      <w:pPr>
        <w:pStyle w:val="Bodytext2"/>
        <w:spacing w:after="0" w:line="360" w:lineRule="auto"/>
        <w:rPr>
          <w:rFonts w:ascii="Times New Roman" w:eastAsia="PMingLiU" w:hAnsi="Times New Roman"/>
          <w:b/>
          <w:bCs/>
          <w:sz w:val="28"/>
        </w:rPr>
      </w:pPr>
      <w:r w:rsidRPr="003A50BB">
        <w:rPr>
          <w:rFonts w:ascii="Times New Roman" w:hAnsi="Times New Roman" w:cs="Times New Roman"/>
          <w:b/>
          <w:bCs/>
          <w:sz w:val="28"/>
          <w:szCs w:val="38"/>
        </w:rPr>
        <w:t>20</w:t>
      </w:r>
      <w:r w:rsidRPr="003A50BB">
        <w:rPr>
          <w:rFonts w:ascii="Times New Roman" w:hAnsi="Times New Roman" w:cs="Times New Roman" w:hint="eastAsia"/>
          <w:b/>
          <w:bCs/>
          <w:sz w:val="28"/>
          <w:szCs w:val="38"/>
        </w:rPr>
        <w:t>2</w:t>
      </w:r>
      <w:r w:rsidRPr="003A50BB">
        <w:rPr>
          <w:rFonts w:ascii="Times New Roman" w:hAnsi="Times New Roman" w:cs="Times New Roman"/>
          <w:b/>
          <w:bCs/>
          <w:sz w:val="28"/>
          <w:szCs w:val="38"/>
          <w:lang w:val="en-US" w:eastAsia="zh-CN"/>
        </w:rPr>
        <w:t>3</w:t>
      </w:r>
      <w:r w:rsidRPr="003A50BB">
        <w:rPr>
          <w:rFonts w:ascii="Times New Roman" w:hAnsi="Times New Roman"/>
          <w:b/>
          <w:bCs/>
          <w:sz w:val="28"/>
        </w:rPr>
        <w:t>年</w:t>
      </w:r>
      <w:r>
        <w:rPr>
          <w:rFonts w:ascii="Times New Roman" w:hAnsi="Times New Roman" w:hint="eastAsia"/>
          <w:b/>
          <w:bCs/>
          <w:sz w:val="28"/>
        </w:rPr>
        <w:t>“</w:t>
      </w:r>
      <w:r w:rsidRPr="003A50BB">
        <w:rPr>
          <w:rFonts w:ascii="Times New Roman" w:hAnsi="Times New Roman" w:hint="eastAsia"/>
          <w:b/>
          <w:bCs/>
          <w:sz w:val="28"/>
        </w:rPr>
        <w:t>公共健康、创新与知识产权高端论坛</w:t>
      </w:r>
      <w:r>
        <w:rPr>
          <w:rFonts w:ascii="Times New Roman" w:hAnsi="Times New Roman" w:hint="eastAsia"/>
          <w:b/>
          <w:bCs/>
          <w:sz w:val="28"/>
        </w:rPr>
        <w:t>”</w:t>
      </w:r>
      <w:r w:rsidRPr="003A50BB">
        <w:rPr>
          <w:rFonts w:ascii="Times New Roman" w:hAnsi="Times New Roman" w:hint="eastAsia"/>
          <w:b/>
          <w:bCs/>
          <w:sz w:val="28"/>
        </w:rPr>
        <w:t>报名回执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C6915" w14:paraId="7235B612" w14:textId="77777777" w:rsidTr="00A44C5D">
        <w:tc>
          <w:tcPr>
            <w:tcW w:w="1382" w:type="dxa"/>
            <w:vAlign w:val="center"/>
          </w:tcPr>
          <w:p w14:paraId="057D32C2" w14:textId="77777777" w:rsidR="00EC6915" w:rsidRPr="00957E94" w:rsidRDefault="00EC6915" w:rsidP="00A44C5D">
            <w:pPr>
              <w:pStyle w:val="Other1"/>
              <w:spacing w:line="240" w:lineRule="auto"/>
              <w:ind w:firstLine="280"/>
              <w:rPr>
                <w:rFonts w:ascii="Times New Roman" w:hAnsi="Times New Roman"/>
                <w:sz w:val="28"/>
                <w:szCs w:val="24"/>
              </w:rPr>
            </w:pPr>
            <w:r w:rsidRPr="00957E94">
              <w:rPr>
                <w:rFonts w:ascii="Times New Roman" w:hAnsi="Times New Roman"/>
                <w:sz w:val="28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2F10E098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  <w:tc>
          <w:tcPr>
            <w:tcW w:w="1383" w:type="dxa"/>
            <w:vAlign w:val="center"/>
          </w:tcPr>
          <w:p w14:paraId="3584EFD3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 w:rsidRPr="00957E94">
              <w:rPr>
                <w:rFonts w:ascii="Times New Roman" w:hAnsi="Times New Roman"/>
                <w:sz w:val="28"/>
                <w:szCs w:val="24"/>
              </w:rPr>
              <w:t>性别</w:t>
            </w:r>
          </w:p>
        </w:tc>
        <w:tc>
          <w:tcPr>
            <w:tcW w:w="1383" w:type="dxa"/>
            <w:vAlign w:val="center"/>
          </w:tcPr>
          <w:p w14:paraId="47F14BDE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  <w:tc>
          <w:tcPr>
            <w:tcW w:w="1383" w:type="dxa"/>
            <w:vAlign w:val="center"/>
          </w:tcPr>
          <w:p w14:paraId="0EF851CD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 w:rsidRPr="00957E94">
              <w:rPr>
                <w:rFonts w:ascii="Times New Roman" w:hAnsi="Times New Roman" w:hint="eastAsia"/>
                <w:sz w:val="28"/>
                <w:szCs w:val="24"/>
              </w:rPr>
              <w:t>政治面貌</w:t>
            </w:r>
          </w:p>
        </w:tc>
        <w:tc>
          <w:tcPr>
            <w:tcW w:w="1383" w:type="dxa"/>
            <w:vAlign w:val="center"/>
          </w:tcPr>
          <w:p w14:paraId="6766EA41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</w:tr>
      <w:tr w:rsidR="00EC6915" w14:paraId="3F1C0BA8" w14:textId="77777777" w:rsidTr="00A44C5D">
        <w:tc>
          <w:tcPr>
            <w:tcW w:w="1382" w:type="dxa"/>
            <w:vAlign w:val="center"/>
          </w:tcPr>
          <w:p w14:paraId="1196D76A" w14:textId="77777777" w:rsidR="00EC6915" w:rsidRPr="00957E94" w:rsidRDefault="00EC6915" w:rsidP="00A44C5D">
            <w:pPr>
              <w:pStyle w:val="Other1"/>
              <w:spacing w:line="240" w:lineRule="auto"/>
              <w:ind w:firstLine="280"/>
              <w:rPr>
                <w:rFonts w:ascii="Times New Roman" w:hAnsi="Times New Roman"/>
                <w:sz w:val="28"/>
                <w:szCs w:val="24"/>
              </w:rPr>
            </w:pPr>
            <w:r w:rsidRPr="00957E94">
              <w:rPr>
                <w:rFonts w:ascii="Times New Roman" w:hAnsi="Times New Roman"/>
                <w:sz w:val="28"/>
                <w:szCs w:val="24"/>
              </w:rPr>
              <w:t>单位</w:t>
            </w:r>
          </w:p>
        </w:tc>
        <w:tc>
          <w:tcPr>
            <w:tcW w:w="2765" w:type="dxa"/>
            <w:gridSpan w:val="2"/>
            <w:vAlign w:val="center"/>
          </w:tcPr>
          <w:p w14:paraId="62D2AF2F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  <w:tc>
          <w:tcPr>
            <w:tcW w:w="1383" w:type="dxa"/>
            <w:vAlign w:val="center"/>
          </w:tcPr>
          <w:p w14:paraId="47978853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 w:rsidRPr="005A53F5">
              <w:rPr>
                <w:rFonts w:ascii="Times New Roman" w:hAnsi="Times New Roman"/>
                <w:sz w:val="24"/>
                <w:szCs w:val="22"/>
              </w:rPr>
              <w:t>职务</w:t>
            </w:r>
            <w:r w:rsidRPr="005A53F5">
              <w:rPr>
                <w:rFonts w:ascii="Times New Roman" w:hAnsi="Times New Roman"/>
                <w:sz w:val="24"/>
                <w:szCs w:val="22"/>
              </w:rPr>
              <w:t>/</w:t>
            </w:r>
            <w:r w:rsidRPr="005A53F5">
              <w:rPr>
                <w:rFonts w:ascii="Times New Roman" w:hAnsi="Times New Roman"/>
                <w:sz w:val="24"/>
                <w:szCs w:val="22"/>
              </w:rPr>
              <w:t>职称</w:t>
            </w:r>
          </w:p>
        </w:tc>
        <w:tc>
          <w:tcPr>
            <w:tcW w:w="2766" w:type="dxa"/>
            <w:gridSpan w:val="2"/>
            <w:vAlign w:val="center"/>
          </w:tcPr>
          <w:p w14:paraId="1B55A15C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</w:tr>
      <w:tr w:rsidR="00EC6915" w14:paraId="4A5E3FEC" w14:textId="77777777" w:rsidTr="00A44C5D">
        <w:tc>
          <w:tcPr>
            <w:tcW w:w="2764" w:type="dxa"/>
            <w:gridSpan w:val="2"/>
            <w:vMerge w:val="restart"/>
            <w:vAlign w:val="center"/>
          </w:tcPr>
          <w:p w14:paraId="31F7FF94" w14:textId="77777777" w:rsidR="00EC6915" w:rsidRPr="005A53F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 w:rsidRPr="00957E94">
              <w:rPr>
                <w:rFonts w:ascii="Times New Roman" w:hAnsi="Times New Roman"/>
                <w:sz w:val="28"/>
                <w:szCs w:val="24"/>
              </w:rPr>
              <w:t>联系方式</w:t>
            </w:r>
          </w:p>
        </w:tc>
        <w:tc>
          <w:tcPr>
            <w:tcW w:w="1383" w:type="dxa"/>
            <w:vAlign w:val="center"/>
          </w:tcPr>
          <w:p w14:paraId="1214988D" w14:textId="77777777" w:rsidR="00EC6915" w:rsidRPr="0087059B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sz w:val="28"/>
              </w:rPr>
            </w:pPr>
            <w:r w:rsidRPr="0087059B">
              <w:rPr>
                <w:rFonts w:ascii="Times New Roman" w:eastAsia="PMingLiU" w:hAnsi="Times New Roman" w:hint="eastAsia"/>
                <w:sz w:val="28"/>
              </w:rPr>
              <w:t>电</w:t>
            </w:r>
            <w:r>
              <w:rPr>
                <w:rFonts w:ascii="Times New Roman" w:eastAsiaTheme="minorEastAsia" w:hAnsi="Times New Roman" w:hint="eastAsia"/>
                <w:sz w:val="28"/>
                <w:lang w:eastAsia="zh-CN"/>
              </w:rPr>
              <w:t xml:space="preserve"> </w:t>
            </w:r>
            <w:r>
              <w:rPr>
                <w:rFonts w:ascii="Times New Roman" w:eastAsia="PMingLiU" w:hAnsi="Times New Roman"/>
                <w:sz w:val="28"/>
              </w:rPr>
              <w:t xml:space="preserve">   </w:t>
            </w:r>
            <w:r w:rsidRPr="0087059B">
              <w:rPr>
                <w:rFonts w:ascii="Times New Roman" w:eastAsia="PMingLiU" w:hAnsi="Times New Roman" w:hint="eastAsia"/>
                <w:sz w:val="28"/>
              </w:rPr>
              <w:t>话</w:t>
            </w:r>
          </w:p>
        </w:tc>
        <w:tc>
          <w:tcPr>
            <w:tcW w:w="4149" w:type="dxa"/>
            <w:gridSpan w:val="3"/>
            <w:vAlign w:val="center"/>
          </w:tcPr>
          <w:p w14:paraId="3B2D0D26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</w:tr>
      <w:tr w:rsidR="00EC6915" w14:paraId="0273BC2A" w14:textId="77777777" w:rsidTr="00A44C5D">
        <w:tc>
          <w:tcPr>
            <w:tcW w:w="2764" w:type="dxa"/>
            <w:gridSpan w:val="2"/>
            <w:vMerge/>
            <w:vAlign w:val="center"/>
          </w:tcPr>
          <w:p w14:paraId="1CC727C3" w14:textId="77777777" w:rsidR="00EC6915" w:rsidRPr="00957E94" w:rsidRDefault="00EC6915" w:rsidP="00A44C5D">
            <w:pPr>
              <w:pStyle w:val="Bodytext2"/>
              <w:spacing w:after="0" w:line="36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4D3451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 w:rsidRPr="00957E94">
              <w:rPr>
                <w:rFonts w:ascii="Times New Roman" w:hAnsi="Times New Roman"/>
                <w:sz w:val="28"/>
                <w:szCs w:val="24"/>
              </w:rPr>
              <w:t>电子信箱</w:t>
            </w:r>
          </w:p>
        </w:tc>
        <w:tc>
          <w:tcPr>
            <w:tcW w:w="4149" w:type="dxa"/>
            <w:gridSpan w:val="3"/>
            <w:vAlign w:val="center"/>
          </w:tcPr>
          <w:p w14:paraId="6FDCBE0C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</w:tr>
      <w:tr w:rsidR="00EC6915" w14:paraId="517F42CA" w14:textId="77777777" w:rsidTr="00A44C5D">
        <w:tc>
          <w:tcPr>
            <w:tcW w:w="2764" w:type="dxa"/>
            <w:gridSpan w:val="2"/>
            <w:vAlign w:val="center"/>
          </w:tcPr>
          <w:p w14:paraId="2D0636A7" w14:textId="6A52C50A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是否住宿等</w:t>
            </w:r>
            <w:r w:rsidRPr="00957E94">
              <w:rPr>
                <w:rFonts w:ascii="Times New Roman" w:hAnsi="Times New Roman"/>
                <w:sz w:val="28"/>
                <w:szCs w:val="24"/>
              </w:rPr>
              <w:t>其它说明事项</w:t>
            </w:r>
          </w:p>
        </w:tc>
        <w:tc>
          <w:tcPr>
            <w:tcW w:w="5532" w:type="dxa"/>
            <w:gridSpan w:val="4"/>
            <w:vAlign w:val="center"/>
          </w:tcPr>
          <w:p w14:paraId="626B82A1" w14:textId="77777777" w:rsidR="00EC6915" w:rsidRDefault="00EC6915" w:rsidP="00A44C5D">
            <w:pPr>
              <w:pStyle w:val="Bodytext2"/>
              <w:spacing w:after="0" w:line="360" w:lineRule="auto"/>
              <w:rPr>
                <w:rFonts w:ascii="Times New Roman" w:eastAsia="PMingLiU" w:hAnsi="Times New Roman"/>
                <w:b/>
                <w:bCs/>
                <w:sz w:val="28"/>
              </w:rPr>
            </w:pPr>
          </w:p>
        </w:tc>
      </w:tr>
    </w:tbl>
    <w:p w14:paraId="1A32133B" w14:textId="77777777" w:rsidR="00EC6915" w:rsidRPr="00957E94" w:rsidRDefault="00EC6915" w:rsidP="00EC6915">
      <w:pPr>
        <w:pStyle w:val="Bodytext1"/>
        <w:tabs>
          <w:tab w:val="left" w:pos="920"/>
        </w:tabs>
        <w:spacing w:line="488" w:lineRule="exact"/>
        <w:ind w:firstLine="0"/>
        <w:jc w:val="both"/>
        <w:rPr>
          <w:rFonts w:ascii="Times New Roman" w:hAnsi="Times New Roman" w:cs="华文仿宋"/>
          <w:sz w:val="22"/>
          <w:szCs w:val="21"/>
          <w:lang w:val="en-US" w:eastAsia="zh-CN" w:bidi="en-US"/>
        </w:rPr>
      </w:pPr>
      <w:r w:rsidRPr="00957E94"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备注：请各位参会者务必于</w:t>
      </w:r>
      <w:r>
        <w:rPr>
          <w:rFonts w:ascii="Times New Roman" w:hAnsi="Times New Roman" w:cs="华文仿宋"/>
          <w:sz w:val="22"/>
          <w:szCs w:val="21"/>
          <w:lang w:val="en-US" w:eastAsia="zh-CN" w:bidi="en-US"/>
        </w:rPr>
        <w:t>4</w:t>
      </w:r>
      <w:r w:rsidRPr="00957E94"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月</w:t>
      </w:r>
      <w:r>
        <w:rPr>
          <w:rFonts w:ascii="Times New Roman" w:hAnsi="Times New Roman" w:cs="华文仿宋"/>
          <w:sz w:val="22"/>
          <w:szCs w:val="21"/>
          <w:lang w:val="en-US" w:eastAsia="zh-CN" w:bidi="en-US"/>
        </w:rPr>
        <w:t>5</w:t>
      </w:r>
      <w:r w:rsidRPr="00957E94"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日</w:t>
      </w:r>
      <w:r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1</w:t>
      </w:r>
      <w:r>
        <w:rPr>
          <w:rFonts w:ascii="Times New Roman" w:hAnsi="Times New Roman" w:cs="华文仿宋"/>
          <w:sz w:val="22"/>
          <w:szCs w:val="21"/>
          <w:lang w:val="en-US" w:eastAsia="zh-CN" w:bidi="en-US"/>
        </w:rPr>
        <w:t>8</w:t>
      </w:r>
      <w:r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：</w:t>
      </w:r>
      <w:r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0</w:t>
      </w:r>
      <w:r>
        <w:rPr>
          <w:rFonts w:ascii="Times New Roman" w:hAnsi="Times New Roman" w:cs="华文仿宋"/>
          <w:sz w:val="22"/>
          <w:szCs w:val="21"/>
          <w:lang w:val="en-US" w:eastAsia="zh-CN" w:bidi="en-US"/>
        </w:rPr>
        <w:t>0</w:t>
      </w:r>
      <w:r w:rsidRPr="00957E94"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之前填写回执并发至</w:t>
      </w:r>
      <w:r w:rsidRPr="00957E94">
        <w:rPr>
          <w:rFonts w:ascii="Times New Roman" w:hAnsi="Times New Roman" w:cs="华文仿宋"/>
          <w:sz w:val="22"/>
          <w:szCs w:val="21"/>
          <w:lang w:val="en-US" w:eastAsia="zh-CN" w:bidi="en-US"/>
        </w:rPr>
        <w:t>wei_xu97@163.com</w:t>
      </w:r>
      <w:r w:rsidRPr="00957E94">
        <w:rPr>
          <w:rFonts w:ascii="Times New Roman" w:hAnsi="Times New Roman" w:cs="华文仿宋" w:hint="eastAsia"/>
          <w:sz w:val="22"/>
          <w:szCs w:val="21"/>
          <w:lang w:val="en-US" w:eastAsia="zh-CN" w:bidi="en-US"/>
        </w:rPr>
        <w:t>。</w:t>
      </w:r>
    </w:p>
    <w:p w14:paraId="0E187BBA" w14:textId="77777777" w:rsidR="00EC6915" w:rsidRPr="006B516D" w:rsidRDefault="00EC6915" w:rsidP="00EC6915"/>
    <w:p w14:paraId="04599733" w14:textId="77777777" w:rsidR="00EC6915" w:rsidRPr="00EC6915" w:rsidRDefault="00EC6915"/>
    <w:sectPr w:rsidR="00EC6915" w:rsidRPr="00EC6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409E" w14:textId="77777777" w:rsidR="001E1214" w:rsidRDefault="001E1214" w:rsidP="00794DA6">
      <w:r>
        <w:separator/>
      </w:r>
    </w:p>
  </w:endnote>
  <w:endnote w:type="continuationSeparator" w:id="0">
    <w:p w14:paraId="3B4C1363" w14:textId="77777777" w:rsidR="001E1214" w:rsidRDefault="001E1214" w:rsidP="0079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EA3A3" w14:textId="77777777" w:rsidR="001E1214" w:rsidRDefault="001E1214" w:rsidP="00794DA6">
      <w:r>
        <w:separator/>
      </w:r>
    </w:p>
  </w:footnote>
  <w:footnote w:type="continuationSeparator" w:id="0">
    <w:p w14:paraId="068145F9" w14:textId="77777777" w:rsidR="001E1214" w:rsidRDefault="001E1214" w:rsidP="0079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2"/>
    <w:rsid w:val="00050971"/>
    <w:rsid w:val="001E1214"/>
    <w:rsid w:val="00211289"/>
    <w:rsid w:val="00345B84"/>
    <w:rsid w:val="003935ED"/>
    <w:rsid w:val="005638DF"/>
    <w:rsid w:val="005C2358"/>
    <w:rsid w:val="00722259"/>
    <w:rsid w:val="00794DA6"/>
    <w:rsid w:val="00AD0974"/>
    <w:rsid w:val="00BD2912"/>
    <w:rsid w:val="00D25851"/>
    <w:rsid w:val="00D435EE"/>
    <w:rsid w:val="00DF441B"/>
    <w:rsid w:val="00EC6915"/>
    <w:rsid w:val="00F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0A0F3"/>
  <w15:chartTrackingRefBased/>
  <w15:docId w15:val="{FBF35AA7-C4EF-411C-9C59-EB919179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2912"/>
    <w:rPr>
      <w:rFonts w:ascii="华文楷体" w:eastAsia="华文楷体" w:hAnsi="华文楷体" w:hint="eastAsia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9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D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DA6"/>
    <w:rPr>
      <w:sz w:val="18"/>
      <w:szCs w:val="18"/>
    </w:rPr>
  </w:style>
  <w:style w:type="paragraph" w:customStyle="1" w:styleId="a7">
    <w:name w:val="本文缩进正文"/>
    <w:basedOn w:val="a"/>
    <w:link w:val="a8"/>
    <w:qFormat/>
    <w:rsid w:val="00EC6915"/>
    <w:pPr>
      <w:spacing w:line="360" w:lineRule="auto"/>
      <w:ind w:firstLineChars="200" w:firstLine="200"/>
    </w:pPr>
    <w:rPr>
      <w:rFonts w:ascii="Times New Roman" w:eastAsia="宋体" w:hAnsi="Times New Roman"/>
      <w:sz w:val="28"/>
    </w:rPr>
  </w:style>
  <w:style w:type="character" w:customStyle="1" w:styleId="a8">
    <w:name w:val="本文缩进正文 字符"/>
    <w:basedOn w:val="a0"/>
    <w:link w:val="a7"/>
    <w:rsid w:val="00EC6915"/>
    <w:rPr>
      <w:rFonts w:ascii="Times New Roman" w:eastAsia="宋体" w:hAnsi="Times New Roman"/>
      <w:sz w:val="28"/>
    </w:rPr>
  </w:style>
  <w:style w:type="character" w:styleId="a9">
    <w:name w:val="Hyperlink"/>
    <w:basedOn w:val="a0"/>
    <w:uiPriority w:val="99"/>
    <w:unhideWhenUsed/>
    <w:rsid w:val="00EC69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C6915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EC691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C6915"/>
  </w:style>
  <w:style w:type="paragraph" w:customStyle="1" w:styleId="Bodytext2">
    <w:name w:val="Body text|2"/>
    <w:basedOn w:val="a"/>
    <w:qFormat/>
    <w:rsid w:val="00EC6915"/>
    <w:pPr>
      <w:spacing w:after="520"/>
      <w:jc w:val="center"/>
    </w:pPr>
    <w:rPr>
      <w:rFonts w:ascii="宋体" w:eastAsia="宋体" w:hAnsi="宋体" w:cs="宋体"/>
      <w:color w:val="000000"/>
      <w:kern w:val="0"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sid w:val="00EC6915"/>
    <w:pPr>
      <w:spacing w:line="382" w:lineRule="auto"/>
      <w:ind w:firstLine="400"/>
      <w:jc w:val="left"/>
    </w:pPr>
    <w:rPr>
      <w:rFonts w:ascii="宋体" w:eastAsia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Bodytext1">
    <w:name w:val="Body text|1"/>
    <w:basedOn w:val="a"/>
    <w:qFormat/>
    <w:rsid w:val="00EC6915"/>
    <w:pPr>
      <w:spacing w:line="382" w:lineRule="auto"/>
      <w:ind w:firstLine="400"/>
      <w:jc w:val="left"/>
    </w:pPr>
    <w:rPr>
      <w:rFonts w:ascii="宋体" w:eastAsia="宋体" w:hAnsi="宋体" w:cs="宋体"/>
      <w:color w:val="000000"/>
      <w:kern w:val="0"/>
      <w:sz w:val="26"/>
      <w:szCs w:val="26"/>
      <w:lang w:val="zh-TW" w:eastAsia="zh-TW" w:bidi="zh-TW"/>
    </w:rPr>
  </w:style>
  <w:style w:type="table" w:styleId="ad">
    <w:name w:val="Table Grid"/>
    <w:basedOn w:val="a1"/>
    <w:uiPriority w:val="39"/>
    <w:rsid w:val="00EC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XIAOTING</dc:creator>
  <cp:keywords/>
  <dc:description/>
  <cp:lastModifiedBy>STAR</cp:lastModifiedBy>
  <cp:revision>2</cp:revision>
  <dcterms:created xsi:type="dcterms:W3CDTF">2023-03-15T01:19:00Z</dcterms:created>
  <dcterms:modified xsi:type="dcterms:W3CDTF">2023-03-15T01:19:00Z</dcterms:modified>
</cp:coreProperties>
</file>