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40" w:leftChars="1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高建美</w:t>
      </w:r>
    </w:p>
    <w:p>
      <w:pPr>
        <w:spacing w:line="360" w:lineRule="auto"/>
        <w:ind w:left="240" w:leftChars="100"/>
        <w:rPr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同济大学上海国际知识产权学院</w:t>
      </w:r>
      <w:r>
        <w:rPr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助理研究员</w:t>
      </w:r>
    </w:p>
    <w:p>
      <w:pPr>
        <w:spacing w:before="240" w:line="360" w:lineRule="auto"/>
        <w:ind w:left="240" w:leftChars="100"/>
        <w:rPr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/>
          <w:bCs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gao</w:t>
      </w:r>
      <w:r>
        <w:rPr>
          <w:bCs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jianmei2009@126.com</w:t>
      </w:r>
    </w:p>
    <w:p>
      <w:pPr>
        <w:pStyle w:val="5"/>
        <w:spacing w:before="240" w:beforeAutospacing="0"/>
        <w:jc w:val="both"/>
        <w:rPr>
          <w:rFonts w:ascii="Times New Roman" w:hAnsi="Times New Roman" w:eastAsia="黑体" w:cs="Times New Roman"/>
          <w:bCs/>
          <w:color w:val="2F5597" w:themeColor="accent1" w:themeShade="BF"/>
          <w:sz w:val="22"/>
          <w:szCs w:val="22"/>
        </w:rPr>
      </w:pPr>
      <w:r>
        <w:rPr>
          <w:rFonts w:ascii="Times New Roman" w:hAnsi="Times New Roman" w:eastAsia="黑体" w:cs="Times New Roman"/>
          <w:bCs/>
          <w:color w:val="2F5597" w:themeColor="accent1" w:themeShade="BF"/>
          <w:sz w:val="22"/>
          <w:szCs w:val="22"/>
        </w:rPr>
        <w:t>研究</w:t>
      </w:r>
      <w:r>
        <w:rPr>
          <w:rFonts w:hint="eastAsia" w:ascii="Times New Roman" w:hAnsi="Times New Roman" w:eastAsia="黑体" w:cs="Times New Roman"/>
          <w:bCs/>
          <w:color w:val="2F5597" w:themeColor="accent1" w:themeShade="BF"/>
          <w:sz w:val="22"/>
          <w:szCs w:val="22"/>
        </w:rPr>
        <w:t>领域</w:t>
      </w:r>
      <w:r>
        <w:rPr>
          <w:rFonts w:ascii="Times New Roman" w:hAnsi="Times New Roman" w:eastAsia="黑体" w:cs="Times New Roman"/>
          <w:bCs/>
          <w:color w:val="2F5597" w:themeColor="accent1" w:themeShade="BF"/>
          <w:sz w:val="22"/>
          <w:szCs w:val="22"/>
        </w:rPr>
        <w:t>：</w:t>
      </w:r>
    </w:p>
    <w:p>
      <w:pPr>
        <w:pStyle w:val="5"/>
        <w:spacing w:before="0" w:before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知识产权法</w:t>
      </w:r>
      <w:r>
        <w:rPr>
          <w:rFonts w:hint="eastAsia" w:ascii="Times New Roman" w:hAnsi="Times New Roman" w:cs="Times New Roman"/>
          <w:bCs/>
          <w:sz w:val="22"/>
          <w:szCs w:val="22"/>
        </w:rPr>
        <w:t>、循环经济、系统设计、农业政策</w:t>
      </w:r>
    </w:p>
    <w:p>
      <w:pPr>
        <w:pStyle w:val="5"/>
        <w:spacing w:before="0" w:beforeAutospacing="0"/>
        <w:jc w:val="both"/>
        <w:rPr>
          <w:rFonts w:ascii="Times New Roman" w:hAnsi="Times New Roman" w:eastAsia="黑体" w:cs="Times New Roman"/>
          <w:bCs/>
          <w:color w:val="2F5597" w:themeColor="accent1" w:themeShade="BF"/>
          <w:sz w:val="22"/>
          <w:szCs w:val="22"/>
        </w:rPr>
      </w:pPr>
      <w:r>
        <w:rPr>
          <w:rFonts w:ascii="Times New Roman" w:hAnsi="Times New Roman" w:eastAsia="黑体" w:cs="Times New Roman"/>
          <w:bCs/>
          <w:color w:val="2F5597" w:themeColor="accent1" w:themeShade="BF"/>
          <w:sz w:val="22"/>
          <w:szCs w:val="22"/>
        </w:rPr>
        <w:t>教育背景：</w:t>
      </w:r>
    </w:p>
    <w:p>
      <w:pPr>
        <w:pStyle w:val="5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2016年12月至2021年6月，</w:t>
      </w:r>
      <w:r>
        <w:rPr>
          <w:rFonts w:hint="eastAsia" w:ascii="Times New Roman" w:hAnsi="Times New Roman" w:cs="Times New Roman"/>
          <w:bCs/>
          <w:sz w:val="22"/>
          <w:szCs w:val="22"/>
        </w:rPr>
        <w:t>布鲁塞尔自由大学（Vri</w:t>
      </w:r>
      <w:r>
        <w:rPr>
          <w:rFonts w:ascii="Times New Roman" w:hAnsi="Times New Roman" w:cs="Times New Roman"/>
          <w:bCs/>
          <w:sz w:val="22"/>
          <w:szCs w:val="22"/>
        </w:rPr>
        <w:t>je Universiteit Brussel</w:t>
      </w:r>
      <w:r>
        <w:rPr>
          <w:rFonts w:hint="eastAsia" w:ascii="Times New Roman" w:hAnsi="Times New Roman" w:cs="Times New Roman"/>
          <w:bCs/>
          <w:sz w:val="22"/>
          <w:szCs w:val="22"/>
        </w:rPr>
        <w:t>）法律与犯罪学院（经济私法研究中心）</w:t>
      </w:r>
      <w:r>
        <w:rPr>
          <w:rFonts w:ascii="Times New Roman" w:hAnsi="Times New Roman" w:cs="Times New Roman"/>
          <w:bCs/>
          <w:sz w:val="22"/>
          <w:szCs w:val="22"/>
        </w:rPr>
        <w:t>，</w:t>
      </w:r>
      <w:r>
        <w:rPr>
          <w:rFonts w:hint="eastAsia" w:ascii="Times New Roman" w:hAnsi="Times New Roman" w:cs="Times New Roman"/>
          <w:bCs/>
          <w:sz w:val="22"/>
          <w:szCs w:val="22"/>
        </w:rPr>
        <w:t>法学博士</w:t>
      </w:r>
      <w:r>
        <w:rPr>
          <w:rFonts w:ascii="Times New Roman" w:hAnsi="Times New Roman" w:cs="Times New Roman"/>
          <w:bCs/>
          <w:sz w:val="22"/>
          <w:szCs w:val="22"/>
        </w:rPr>
        <w:t>；</w:t>
      </w:r>
    </w:p>
    <w:p>
      <w:pPr>
        <w:pStyle w:val="5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2013年9月至2016年3月，</w:t>
      </w:r>
      <w:r>
        <w:rPr>
          <w:rFonts w:hint="eastAsia" w:ascii="Times New Roman" w:hAnsi="Times New Roman" w:cs="Times New Roman"/>
          <w:bCs/>
          <w:sz w:val="22"/>
          <w:szCs w:val="22"/>
        </w:rPr>
        <w:t>同济大学法学院/知识产权学院，经济法学硕士</w:t>
      </w:r>
      <w:r>
        <w:rPr>
          <w:rFonts w:ascii="Times New Roman" w:hAnsi="Times New Roman" w:cs="Times New Roman"/>
          <w:bCs/>
          <w:sz w:val="22"/>
          <w:szCs w:val="22"/>
        </w:rPr>
        <w:t>；</w:t>
      </w:r>
    </w:p>
    <w:p>
      <w:pPr>
        <w:pStyle w:val="5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hint="eastAsia" w:ascii="Times New Roman" w:hAnsi="Times New Roman" w:cs="Times New Roman"/>
          <w:bCs/>
          <w:sz w:val="22"/>
          <w:szCs w:val="22"/>
        </w:rPr>
        <w:t>2</w:t>
      </w:r>
      <w:r>
        <w:rPr>
          <w:rFonts w:ascii="Times New Roman" w:hAnsi="Times New Roman" w:cs="Times New Roman"/>
          <w:bCs/>
          <w:sz w:val="22"/>
          <w:szCs w:val="22"/>
        </w:rPr>
        <w:t>014</w:t>
      </w:r>
      <w:r>
        <w:rPr>
          <w:rFonts w:hint="eastAsia" w:ascii="Times New Roman" w:hAnsi="Times New Roman" w:cs="Times New Roman"/>
          <w:bCs/>
          <w:sz w:val="22"/>
          <w:szCs w:val="22"/>
        </w:rPr>
        <w:t>年9月至2</w:t>
      </w:r>
      <w:r>
        <w:rPr>
          <w:rFonts w:ascii="Times New Roman" w:hAnsi="Times New Roman" w:cs="Times New Roman"/>
          <w:bCs/>
          <w:sz w:val="22"/>
          <w:szCs w:val="22"/>
        </w:rPr>
        <w:t>015</w:t>
      </w:r>
      <w:r>
        <w:rPr>
          <w:rFonts w:hint="eastAsia" w:ascii="Times New Roman" w:hAnsi="Times New Roman" w:cs="Times New Roman"/>
          <w:bCs/>
          <w:sz w:val="22"/>
          <w:szCs w:val="22"/>
        </w:rPr>
        <w:t>年9月，联合国环境规划署——同济大学环境与可持续发展学院，设计创意与可持续发展辅修专业；</w:t>
      </w:r>
    </w:p>
    <w:p>
      <w:pPr>
        <w:pStyle w:val="5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2009年9月至2013年7月，</w:t>
      </w:r>
      <w:r>
        <w:rPr>
          <w:rFonts w:hint="eastAsia" w:ascii="Times New Roman" w:hAnsi="Times New Roman" w:cs="Times New Roman"/>
          <w:bCs/>
          <w:sz w:val="22"/>
          <w:szCs w:val="22"/>
        </w:rPr>
        <w:t>临沂</w:t>
      </w:r>
      <w:r>
        <w:rPr>
          <w:rFonts w:ascii="Times New Roman" w:hAnsi="Times New Roman" w:cs="Times New Roman"/>
          <w:bCs/>
          <w:sz w:val="22"/>
          <w:szCs w:val="22"/>
        </w:rPr>
        <w:t>大学</w:t>
      </w:r>
      <w:r>
        <w:rPr>
          <w:rFonts w:hint="eastAsia" w:ascii="Times New Roman" w:hAnsi="Times New Roman" w:cs="Times New Roman"/>
          <w:bCs/>
          <w:sz w:val="22"/>
          <w:szCs w:val="22"/>
        </w:rPr>
        <w:t>法学院</w:t>
      </w:r>
      <w:r>
        <w:rPr>
          <w:rFonts w:ascii="Times New Roman" w:hAnsi="Times New Roman" w:cs="Times New Roman"/>
          <w:bCs/>
          <w:sz w:val="22"/>
          <w:szCs w:val="22"/>
        </w:rPr>
        <w:t>，</w:t>
      </w:r>
      <w:r>
        <w:rPr>
          <w:rFonts w:hint="eastAsia" w:ascii="Times New Roman" w:hAnsi="Times New Roman" w:cs="Times New Roman"/>
          <w:bCs/>
          <w:sz w:val="22"/>
          <w:szCs w:val="22"/>
        </w:rPr>
        <w:t>法学学士；</w:t>
      </w:r>
    </w:p>
    <w:p>
      <w:pPr>
        <w:pStyle w:val="5"/>
        <w:jc w:val="both"/>
        <w:rPr>
          <w:rFonts w:ascii="Times New Roman" w:hAnsi="Times New Roman" w:eastAsia="黑体" w:cs="Times New Roman"/>
          <w:bCs/>
          <w:color w:val="2F5597" w:themeColor="accent1" w:themeShade="BF"/>
          <w:sz w:val="22"/>
          <w:szCs w:val="22"/>
        </w:rPr>
      </w:pPr>
      <w:r>
        <w:rPr>
          <w:rFonts w:hint="eastAsia" w:ascii="Times New Roman" w:hAnsi="Times New Roman" w:eastAsia="黑体" w:cs="Times New Roman"/>
          <w:bCs/>
          <w:color w:val="2F5597" w:themeColor="accent1" w:themeShade="BF"/>
          <w:sz w:val="22"/>
          <w:szCs w:val="22"/>
        </w:rPr>
        <w:t>工作、研究</w:t>
      </w:r>
      <w:r>
        <w:rPr>
          <w:rFonts w:ascii="Times New Roman" w:hAnsi="Times New Roman" w:eastAsia="黑体" w:cs="Times New Roman"/>
          <w:bCs/>
          <w:color w:val="2F5597" w:themeColor="accent1" w:themeShade="BF"/>
          <w:sz w:val="22"/>
          <w:szCs w:val="22"/>
        </w:rPr>
        <w:t>经历：</w:t>
      </w:r>
    </w:p>
    <w:p>
      <w:pPr>
        <w:pStyle w:val="5"/>
        <w:numPr>
          <w:ilvl w:val="0"/>
          <w:numId w:val="2"/>
        </w:numPr>
        <w:spacing w:line="30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hint="eastAsia" w:ascii="Times New Roman" w:hAnsi="Times New Roman" w:cs="Times New Roman"/>
          <w:bCs/>
          <w:sz w:val="22"/>
          <w:szCs w:val="22"/>
        </w:rPr>
        <w:t>2</w:t>
      </w:r>
      <w:r>
        <w:rPr>
          <w:rFonts w:ascii="Times New Roman" w:hAnsi="Times New Roman" w:cs="Times New Roman"/>
          <w:bCs/>
          <w:sz w:val="22"/>
          <w:szCs w:val="22"/>
        </w:rPr>
        <w:t>017</w:t>
      </w:r>
      <w:r>
        <w:rPr>
          <w:rFonts w:hint="eastAsia" w:ascii="Times New Roman" w:hAnsi="Times New Roman" w:cs="Times New Roman"/>
          <w:bCs/>
          <w:sz w:val="22"/>
          <w:szCs w:val="22"/>
        </w:rPr>
        <w:t>年</w:t>
      </w:r>
      <w:r>
        <w:rPr>
          <w:rFonts w:ascii="Times New Roman" w:hAnsi="Times New Roman" w:cs="Times New Roman"/>
          <w:bCs/>
          <w:sz w:val="22"/>
          <w:szCs w:val="22"/>
        </w:rPr>
        <w:t>5</w:t>
      </w:r>
      <w:r>
        <w:rPr>
          <w:rFonts w:hint="eastAsia" w:ascii="Times New Roman" w:hAnsi="Times New Roman" w:cs="Times New Roman"/>
          <w:bCs/>
          <w:sz w:val="22"/>
          <w:szCs w:val="22"/>
        </w:rPr>
        <w:t>月至2</w:t>
      </w:r>
      <w:r>
        <w:rPr>
          <w:rFonts w:ascii="Times New Roman" w:hAnsi="Times New Roman" w:cs="Times New Roman"/>
          <w:bCs/>
          <w:sz w:val="22"/>
          <w:szCs w:val="22"/>
        </w:rPr>
        <w:t>017</w:t>
      </w:r>
      <w:r>
        <w:rPr>
          <w:rFonts w:hint="eastAsia" w:ascii="Times New Roman" w:hAnsi="Times New Roman" w:cs="Times New Roman"/>
          <w:bCs/>
          <w:sz w:val="22"/>
          <w:szCs w:val="22"/>
        </w:rPr>
        <w:t>年</w:t>
      </w:r>
      <w:r>
        <w:rPr>
          <w:rFonts w:ascii="Times New Roman" w:hAnsi="Times New Roman" w:cs="Times New Roman"/>
          <w:bCs/>
          <w:sz w:val="22"/>
          <w:szCs w:val="22"/>
        </w:rPr>
        <w:t>9</w:t>
      </w:r>
      <w:r>
        <w:rPr>
          <w:rFonts w:hint="eastAsia" w:ascii="Times New Roman" w:hAnsi="Times New Roman" w:cs="Times New Roman"/>
          <w:bCs/>
          <w:sz w:val="22"/>
          <w:szCs w:val="22"/>
        </w:rPr>
        <w:t>月，在华东政法大学参加玛丽居里国际科研人员交流活动；</w:t>
      </w:r>
    </w:p>
    <w:p>
      <w:pPr>
        <w:pStyle w:val="5"/>
        <w:numPr>
          <w:ilvl w:val="0"/>
          <w:numId w:val="2"/>
        </w:numPr>
        <w:spacing w:line="30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2016年12月至2019年9月，</w:t>
      </w:r>
      <w:r>
        <w:rPr>
          <w:rFonts w:hint="eastAsia" w:ascii="Times New Roman" w:hAnsi="Times New Roman" w:cs="Times New Roman"/>
          <w:bCs/>
          <w:sz w:val="22"/>
          <w:szCs w:val="22"/>
        </w:rPr>
        <w:t>布鲁塞尔自由大学法律与犯罪学院</w:t>
      </w:r>
      <w:r>
        <w:rPr>
          <w:rFonts w:ascii="Times New Roman" w:hAnsi="Times New Roman" w:cs="Times New Roman"/>
          <w:bCs/>
          <w:sz w:val="22"/>
          <w:szCs w:val="22"/>
        </w:rPr>
        <w:t>，</w:t>
      </w:r>
      <w:r>
        <w:rPr>
          <w:rFonts w:hint="eastAsia" w:ascii="Times New Roman" w:hAnsi="Times New Roman" w:cs="Times New Roman"/>
          <w:bCs/>
          <w:sz w:val="22"/>
          <w:szCs w:val="22"/>
        </w:rPr>
        <w:t>科研助理；</w:t>
      </w:r>
    </w:p>
    <w:p>
      <w:pPr>
        <w:pStyle w:val="5"/>
        <w:spacing w:line="300" w:lineRule="auto"/>
        <w:jc w:val="both"/>
        <w:rPr>
          <w:rFonts w:ascii="Times New Roman" w:hAnsi="Times New Roman" w:eastAsia="黑体" w:cs="Times New Roman"/>
          <w:bCs/>
          <w:color w:val="2F5597" w:themeColor="accent1" w:themeShade="BF"/>
          <w:sz w:val="22"/>
          <w:szCs w:val="22"/>
        </w:rPr>
      </w:pPr>
      <w:r>
        <w:rPr>
          <w:rFonts w:ascii="Times New Roman" w:hAnsi="Times New Roman" w:eastAsia="黑体" w:cs="Times New Roman"/>
          <w:bCs/>
          <w:color w:val="2F5597" w:themeColor="accent1" w:themeShade="BF"/>
          <w:sz w:val="22"/>
          <w:szCs w:val="22"/>
        </w:rPr>
        <w:t>论文</w:t>
      </w:r>
      <w:r>
        <w:rPr>
          <w:rFonts w:hint="eastAsia" w:ascii="Times New Roman" w:hAnsi="Times New Roman" w:eastAsia="黑体" w:cs="Times New Roman"/>
          <w:bCs/>
          <w:color w:val="2F5597" w:themeColor="accent1" w:themeShade="BF"/>
          <w:sz w:val="22"/>
          <w:szCs w:val="22"/>
        </w:rPr>
        <w:t>、书章节、专著</w:t>
      </w:r>
      <w:r>
        <w:rPr>
          <w:rFonts w:ascii="Times New Roman" w:hAnsi="Times New Roman" w:eastAsia="黑体" w:cs="Times New Roman"/>
          <w:bCs/>
          <w:color w:val="2F5597" w:themeColor="accent1" w:themeShade="BF"/>
          <w:sz w:val="22"/>
          <w:szCs w:val="22"/>
        </w:rPr>
        <w:t xml:space="preserve">： </w:t>
      </w:r>
    </w:p>
    <w:p>
      <w:pPr>
        <w:widowControl/>
        <w:numPr>
          <w:ilvl w:val="0"/>
          <w:numId w:val="3"/>
        </w:numPr>
        <w:spacing w:line="300" w:lineRule="auto"/>
        <w:rPr>
          <w:bCs/>
          <w:kern w:val="0"/>
          <w:sz w:val="22"/>
        </w:rPr>
      </w:pPr>
      <w:r>
        <w:rPr>
          <w:bCs/>
          <w:kern w:val="0"/>
          <w:sz w:val="22"/>
        </w:rPr>
        <w:t>Kim Van der Borght</w:t>
      </w:r>
      <w:r>
        <w:rPr>
          <w:rFonts w:hint="eastAsia"/>
          <w:bCs/>
          <w:kern w:val="0"/>
          <w:sz w:val="22"/>
        </w:rPr>
        <w:t>，</w:t>
      </w:r>
      <w:r>
        <w:rPr>
          <w:rFonts w:hint="eastAsia"/>
          <w:b/>
          <w:kern w:val="0"/>
          <w:sz w:val="22"/>
        </w:rPr>
        <w:t>J</w:t>
      </w:r>
      <w:r>
        <w:rPr>
          <w:b/>
          <w:kern w:val="0"/>
          <w:sz w:val="22"/>
        </w:rPr>
        <w:t>ianmei Gao</w:t>
      </w:r>
      <w:r>
        <w:rPr>
          <w:rFonts w:hint="eastAsia"/>
          <w:bCs/>
          <w:kern w:val="0"/>
          <w:sz w:val="22"/>
        </w:rPr>
        <w:t>（共同一作，通讯）</w:t>
      </w:r>
      <w:r>
        <w:rPr>
          <w:bCs/>
          <w:kern w:val="0"/>
          <w:sz w:val="22"/>
        </w:rPr>
        <w:t>, Xiaoting Song (2021) Geographical Indications for Agricultural Products and Foodstuffs in the EU: to What Extent does the Protection Level Match the Scope of the Subject Matter? Q</w:t>
      </w:r>
      <w:r>
        <w:rPr>
          <w:rFonts w:hint="eastAsia"/>
          <w:bCs/>
          <w:kern w:val="0"/>
          <w:sz w:val="22"/>
        </w:rPr>
        <w:t>u</w:t>
      </w:r>
      <w:r>
        <w:rPr>
          <w:bCs/>
          <w:kern w:val="0"/>
          <w:sz w:val="22"/>
        </w:rPr>
        <w:t>een Mary Journal of Intellectual Property, 11.3 : 270-294</w:t>
      </w:r>
      <w:r>
        <w:rPr>
          <w:rFonts w:hint="eastAsia"/>
          <w:bCs/>
          <w:kern w:val="0"/>
          <w:sz w:val="22"/>
        </w:rPr>
        <w:t>（S</w:t>
      </w:r>
      <w:r>
        <w:rPr>
          <w:bCs/>
          <w:kern w:val="0"/>
          <w:sz w:val="22"/>
        </w:rPr>
        <w:t>SCI</w:t>
      </w:r>
      <w:r>
        <w:rPr>
          <w:rFonts w:hint="eastAsia"/>
          <w:bCs/>
          <w:kern w:val="0"/>
          <w:sz w:val="22"/>
        </w:rPr>
        <w:t>）</w:t>
      </w:r>
    </w:p>
    <w:p>
      <w:pPr>
        <w:widowControl/>
        <w:numPr>
          <w:ilvl w:val="0"/>
          <w:numId w:val="3"/>
        </w:numPr>
        <w:spacing w:line="300" w:lineRule="auto"/>
        <w:rPr>
          <w:bCs/>
          <w:kern w:val="0"/>
          <w:sz w:val="22"/>
        </w:rPr>
      </w:pPr>
      <w:r>
        <w:rPr>
          <w:b/>
          <w:kern w:val="0"/>
          <w:sz w:val="22"/>
        </w:rPr>
        <w:t>Jianmei Gao</w:t>
      </w:r>
      <w:r>
        <w:rPr>
          <w:bCs/>
          <w:kern w:val="0"/>
          <w:sz w:val="22"/>
        </w:rPr>
        <w:t>, Kim van der Borght (2022) Amending EU Regulation No. 1151/2012 on Quality Schemes for Agricultural Products and Foodstuffs: Planting a Human in the Terroir</w:t>
      </w:r>
      <w:r>
        <w:rPr>
          <w:rFonts w:hint="eastAsia"/>
          <w:bCs/>
          <w:kern w:val="0"/>
          <w:sz w:val="22"/>
        </w:rPr>
        <w:t>，i</w:t>
      </w:r>
      <w:r>
        <w:rPr>
          <w:bCs/>
          <w:kern w:val="0"/>
          <w:sz w:val="22"/>
        </w:rPr>
        <w:t>n Law and Sustainability. Springer, Cham, 156-288 (</w:t>
      </w:r>
      <w:r>
        <w:rPr>
          <w:rFonts w:hint="eastAsia"/>
          <w:bCs/>
          <w:kern w:val="0"/>
          <w:sz w:val="22"/>
        </w:rPr>
        <w:t>书章节</w:t>
      </w:r>
      <w:r>
        <w:rPr>
          <w:bCs/>
          <w:kern w:val="0"/>
          <w:sz w:val="22"/>
        </w:rPr>
        <w:t>)</w:t>
      </w:r>
    </w:p>
    <w:p>
      <w:pPr>
        <w:widowControl/>
        <w:numPr>
          <w:ilvl w:val="0"/>
          <w:numId w:val="3"/>
        </w:numPr>
        <w:spacing w:line="300" w:lineRule="auto"/>
        <w:rPr>
          <w:bCs/>
          <w:kern w:val="0"/>
          <w:sz w:val="22"/>
        </w:rPr>
      </w:pPr>
      <w:r>
        <w:rPr>
          <w:b/>
          <w:kern w:val="0"/>
          <w:sz w:val="22"/>
        </w:rPr>
        <w:t>Jianmei Gao</w:t>
      </w:r>
      <w:r>
        <w:rPr>
          <w:bCs/>
          <w:kern w:val="0"/>
          <w:sz w:val="22"/>
        </w:rPr>
        <w:t xml:space="preserve"> (2021) Planting a Sustainable Root for Geographical Indications. Third IP &amp; Innovation Researchers of Asia (IPIRA) Conference (24 March 2021) (</w:t>
      </w:r>
      <w:r>
        <w:rPr>
          <w:rFonts w:hint="eastAsia"/>
          <w:bCs/>
          <w:kern w:val="0"/>
          <w:sz w:val="22"/>
        </w:rPr>
        <w:t>国际会议论文主题演讲，会议由</w:t>
      </w:r>
      <w:r>
        <w:rPr>
          <w:bCs/>
          <w:kern w:val="0"/>
          <w:sz w:val="22"/>
        </w:rPr>
        <w:t xml:space="preserve">WIPO </w:t>
      </w:r>
      <w:r>
        <w:rPr>
          <w:rFonts w:hint="eastAsia"/>
          <w:bCs/>
          <w:kern w:val="0"/>
          <w:sz w:val="22"/>
        </w:rPr>
        <w:t>与</w:t>
      </w:r>
      <w:r>
        <w:rPr>
          <w:bCs/>
          <w:kern w:val="0"/>
          <w:sz w:val="22"/>
        </w:rPr>
        <w:t>WTO</w:t>
      </w:r>
      <w:r>
        <w:rPr>
          <w:rFonts w:hint="eastAsia"/>
          <w:bCs/>
          <w:kern w:val="0"/>
          <w:sz w:val="22"/>
        </w:rPr>
        <w:t>举办</w:t>
      </w:r>
      <w:r>
        <w:rPr>
          <w:bCs/>
          <w:kern w:val="0"/>
          <w:sz w:val="22"/>
        </w:rPr>
        <w:t>)</w:t>
      </w:r>
    </w:p>
    <w:p>
      <w:pPr>
        <w:widowControl/>
        <w:numPr>
          <w:ilvl w:val="0"/>
          <w:numId w:val="3"/>
        </w:numPr>
        <w:spacing w:line="300" w:lineRule="auto"/>
        <w:rPr>
          <w:bCs/>
          <w:kern w:val="0"/>
          <w:sz w:val="22"/>
        </w:rPr>
      </w:pPr>
      <w:r>
        <w:rPr>
          <w:b/>
          <w:kern w:val="0"/>
          <w:sz w:val="22"/>
        </w:rPr>
        <w:t>Jianmei Gao</w:t>
      </w:r>
      <w:r>
        <w:rPr>
          <w:bCs/>
          <w:kern w:val="0"/>
          <w:sz w:val="22"/>
        </w:rPr>
        <w:t xml:space="preserve"> (2022) Unleash Geographical Indications’ Potential of Fostering Sustainable and Multi-functional Agriculture in China by Enhancing Public Interventions. F</w:t>
      </w:r>
      <w:r>
        <w:rPr>
          <w:rFonts w:hint="eastAsia"/>
          <w:bCs/>
          <w:kern w:val="0"/>
          <w:sz w:val="22"/>
        </w:rPr>
        <w:t>ou</w:t>
      </w:r>
      <w:r>
        <w:rPr>
          <w:bCs/>
          <w:kern w:val="0"/>
          <w:sz w:val="22"/>
        </w:rPr>
        <w:t>rth IP &amp; Innovation Researchers of Asia (IPIRA) Conference (11 February 2022) (国际会议论</w:t>
      </w:r>
      <w:r>
        <w:rPr>
          <w:rFonts w:hint="eastAsia"/>
          <w:bCs/>
          <w:kern w:val="0"/>
          <w:sz w:val="22"/>
        </w:rPr>
        <w:t>文</w:t>
      </w:r>
      <w:r>
        <w:rPr>
          <w:bCs/>
          <w:kern w:val="0"/>
          <w:sz w:val="22"/>
        </w:rPr>
        <w:t>主题演讲，会议由WIPO 与WTO举办)</w:t>
      </w:r>
    </w:p>
    <w:p>
      <w:pPr>
        <w:widowControl/>
        <w:numPr>
          <w:ilvl w:val="0"/>
          <w:numId w:val="3"/>
        </w:numPr>
        <w:spacing w:line="300" w:lineRule="auto"/>
        <w:rPr>
          <w:bCs/>
          <w:kern w:val="0"/>
          <w:sz w:val="22"/>
        </w:rPr>
      </w:pPr>
      <w:r>
        <w:rPr>
          <w:rFonts w:hint="eastAsia"/>
          <w:bCs/>
          <w:kern w:val="0"/>
          <w:sz w:val="22"/>
        </w:rPr>
        <w:t>Ko</w:t>
      </w:r>
      <w:r>
        <w:rPr>
          <w:bCs/>
          <w:kern w:val="0"/>
          <w:sz w:val="22"/>
        </w:rPr>
        <w:t>en Byttebier, Kim van der Borght…</w:t>
      </w:r>
      <w:r>
        <w:rPr>
          <w:b/>
          <w:kern w:val="0"/>
          <w:sz w:val="22"/>
        </w:rPr>
        <w:t>Jianmei Gao</w:t>
      </w:r>
      <w:r>
        <w:rPr>
          <w:bCs/>
          <w:kern w:val="0"/>
          <w:sz w:val="22"/>
        </w:rPr>
        <w:t xml:space="preserve"> (2022) Reshaping the Socio-economic Order through Economic and Technological Innovation, Springer, Cham</w:t>
      </w:r>
      <w:r>
        <w:rPr>
          <w:rFonts w:hint="eastAsia"/>
          <w:bCs/>
          <w:kern w:val="0"/>
          <w:sz w:val="22"/>
        </w:rPr>
        <w:t>（参著）</w:t>
      </w:r>
    </w:p>
    <w:p>
      <w:pPr>
        <w:widowControl/>
        <w:numPr>
          <w:ilvl w:val="0"/>
          <w:numId w:val="3"/>
        </w:numPr>
        <w:spacing w:line="300" w:lineRule="auto"/>
        <w:rPr>
          <w:bCs/>
          <w:kern w:val="0"/>
          <w:sz w:val="22"/>
        </w:rPr>
      </w:pPr>
      <w:r>
        <w:rPr>
          <w:rFonts w:hint="eastAsia"/>
          <w:b/>
          <w:sz w:val="22"/>
        </w:rPr>
        <w:t xml:space="preserve">Jianmei Gao </w:t>
      </w:r>
      <w:r>
        <w:rPr>
          <w:rFonts w:hint="eastAsia"/>
          <w:bCs/>
          <w:sz w:val="22"/>
        </w:rPr>
        <w:t>(2021) Planting a Sustainable Root for Geographical Indication: from an EU/China Comparative Perspective (博士论文，出版中，Springer, Cham)</w:t>
      </w:r>
    </w:p>
    <w:p>
      <w:pPr>
        <w:widowControl/>
        <w:numPr>
          <w:ilvl w:val="0"/>
          <w:numId w:val="3"/>
        </w:numPr>
        <w:spacing w:line="300" w:lineRule="auto"/>
        <w:rPr>
          <w:bCs/>
          <w:kern w:val="0"/>
          <w:sz w:val="22"/>
        </w:rPr>
      </w:pPr>
      <w:r>
        <w:rPr>
          <w:rFonts w:hint="eastAsia"/>
          <w:b/>
          <w:kern w:val="0"/>
          <w:sz w:val="22"/>
        </w:rPr>
        <w:t>高建美</w:t>
      </w:r>
      <w:r>
        <w:rPr>
          <w:rFonts w:hint="eastAsia"/>
          <w:bCs/>
          <w:kern w:val="0"/>
          <w:sz w:val="22"/>
        </w:rPr>
        <w:t>,宋晓亭（2</w:t>
      </w:r>
      <w:r>
        <w:rPr>
          <w:bCs/>
          <w:kern w:val="0"/>
          <w:sz w:val="22"/>
        </w:rPr>
        <w:t>016</w:t>
      </w:r>
      <w:r>
        <w:rPr>
          <w:rFonts w:hint="eastAsia"/>
          <w:bCs/>
          <w:kern w:val="0"/>
          <w:sz w:val="22"/>
        </w:rPr>
        <w:t>）中药品种保护制度之法律职能.科技与法律</w:t>
      </w:r>
      <w:r>
        <w:rPr>
          <w:bCs/>
          <w:kern w:val="0"/>
          <w:sz w:val="22"/>
        </w:rPr>
        <w:t>0</w:t>
      </w:r>
      <w:r>
        <w:rPr>
          <w:rFonts w:hint="eastAsia"/>
          <w:bCs/>
          <w:kern w:val="0"/>
          <w:sz w:val="22"/>
        </w:rPr>
        <w:t>6:1044-1057</w:t>
      </w:r>
      <w:r>
        <w:rPr>
          <w:bCs/>
          <w:kern w:val="0"/>
          <w:sz w:val="22"/>
        </w:rPr>
        <w:t xml:space="preserve"> (CSSCI</w:t>
      </w:r>
      <w:r>
        <w:rPr>
          <w:rFonts w:hint="eastAsia"/>
          <w:bCs/>
          <w:kern w:val="0"/>
          <w:sz w:val="22"/>
        </w:rPr>
        <w:t>扩展</w:t>
      </w:r>
      <w:r>
        <w:rPr>
          <w:bCs/>
          <w:kern w:val="0"/>
          <w:sz w:val="22"/>
        </w:rPr>
        <w:t>)</w:t>
      </w:r>
    </w:p>
    <w:p>
      <w:pPr>
        <w:widowControl/>
        <w:numPr>
          <w:ilvl w:val="0"/>
          <w:numId w:val="3"/>
        </w:numPr>
        <w:spacing w:line="300" w:lineRule="auto"/>
        <w:rPr>
          <w:bCs/>
          <w:kern w:val="0"/>
          <w:sz w:val="22"/>
        </w:rPr>
      </w:pPr>
      <w:r>
        <w:rPr>
          <w:rFonts w:hint="eastAsia"/>
          <w:b/>
          <w:kern w:val="0"/>
          <w:sz w:val="22"/>
        </w:rPr>
        <w:t>高建美</w:t>
      </w:r>
      <w:r>
        <w:rPr>
          <w:rFonts w:hint="eastAsia"/>
          <w:bCs/>
          <w:kern w:val="0"/>
          <w:sz w:val="22"/>
        </w:rPr>
        <w:t>,宋晓亭（2</w:t>
      </w:r>
      <w:r>
        <w:rPr>
          <w:bCs/>
          <w:kern w:val="0"/>
          <w:sz w:val="22"/>
        </w:rPr>
        <w:t>017</w:t>
      </w:r>
      <w:r>
        <w:rPr>
          <w:rFonts w:hint="eastAsia"/>
          <w:bCs/>
          <w:kern w:val="0"/>
          <w:sz w:val="22"/>
        </w:rPr>
        <w:t>）中药品种保护制度应适应中药发展规律.世界科学技术-中医药现代化19(02):203-206（C</w:t>
      </w:r>
      <w:r>
        <w:rPr>
          <w:bCs/>
          <w:kern w:val="0"/>
          <w:sz w:val="22"/>
        </w:rPr>
        <w:t>SCD</w:t>
      </w:r>
      <w:r>
        <w:rPr>
          <w:rFonts w:hint="eastAsia"/>
          <w:bCs/>
          <w:kern w:val="0"/>
          <w:sz w:val="22"/>
        </w:rPr>
        <w:t>扩展）</w:t>
      </w:r>
    </w:p>
    <w:p>
      <w:pPr>
        <w:widowControl/>
        <w:numPr>
          <w:ilvl w:val="0"/>
          <w:numId w:val="3"/>
        </w:numPr>
        <w:spacing w:line="300" w:lineRule="auto"/>
        <w:rPr>
          <w:bCs/>
          <w:kern w:val="0"/>
          <w:sz w:val="22"/>
        </w:rPr>
      </w:pPr>
      <w:r>
        <w:rPr>
          <w:rFonts w:hint="eastAsia"/>
          <w:b/>
          <w:kern w:val="0"/>
          <w:sz w:val="22"/>
        </w:rPr>
        <w:t>高建美</w:t>
      </w:r>
      <w:r>
        <w:rPr>
          <w:rFonts w:hint="eastAsia"/>
          <w:bCs/>
          <w:kern w:val="0"/>
          <w:sz w:val="22"/>
        </w:rPr>
        <w:t>（2</w:t>
      </w:r>
      <w:r>
        <w:rPr>
          <w:bCs/>
          <w:kern w:val="0"/>
          <w:sz w:val="22"/>
        </w:rPr>
        <w:t>016</w:t>
      </w:r>
      <w:r>
        <w:rPr>
          <w:rFonts w:hint="eastAsia"/>
          <w:bCs/>
          <w:kern w:val="0"/>
          <w:sz w:val="22"/>
        </w:rPr>
        <w:t>）个人基因信息的法律属性.中国生命法学评论</w:t>
      </w:r>
      <w:r>
        <w:rPr>
          <w:bCs/>
          <w:kern w:val="0"/>
          <w:sz w:val="22"/>
        </w:rPr>
        <w:t>1(2):104-111(</w:t>
      </w:r>
      <w:r>
        <w:rPr>
          <w:rFonts w:hint="eastAsia"/>
          <w:bCs/>
          <w:kern w:val="0"/>
          <w:sz w:val="22"/>
        </w:rPr>
        <w:t>书章节</w:t>
      </w:r>
      <w:r>
        <w:rPr>
          <w:bCs/>
          <w:kern w:val="0"/>
          <w:sz w:val="22"/>
        </w:rPr>
        <w:t>)</w:t>
      </w:r>
    </w:p>
    <w:p>
      <w:pPr>
        <w:widowControl/>
        <w:spacing w:before="240" w:line="300" w:lineRule="auto"/>
        <w:rPr>
          <w:rFonts w:eastAsia="黑体"/>
          <w:bCs/>
          <w:color w:val="2F5597" w:themeColor="accent1" w:themeShade="BF"/>
          <w:sz w:val="22"/>
          <w:szCs w:val="21"/>
        </w:rPr>
      </w:pPr>
      <w:r>
        <w:rPr>
          <w:rFonts w:hint="eastAsia" w:eastAsia="黑体"/>
          <w:bCs/>
          <w:color w:val="2F5597" w:themeColor="accent1" w:themeShade="BF"/>
          <w:sz w:val="22"/>
          <w:szCs w:val="21"/>
        </w:rPr>
        <w:t>作为负责人主持的课题：</w:t>
      </w:r>
    </w:p>
    <w:p>
      <w:pPr>
        <w:pStyle w:val="14"/>
        <w:numPr>
          <w:ilvl w:val="0"/>
          <w:numId w:val="4"/>
        </w:numPr>
        <w:spacing w:line="300" w:lineRule="auto"/>
        <w:ind w:firstLineChars="0"/>
        <w:rPr>
          <w:rFonts w:eastAsia="宋体" w:cs="Times New Roman"/>
          <w:bCs/>
          <w:sz w:val="22"/>
          <w:szCs w:val="22"/>
        </w:rPr>
      </w:pPr>
      <w:r>
        <w:rPr>
          <w:rFonts w:eastAsia="宋体" w:cs="Times New Roman"/>
          <w:bCs/>
          <w:sz w:val="22"/>
          <w:szCs w:val="22"/>
        </w:rPr>
        <w:t>Planting a Sustainable Root for Geographical Indications: from an EU/China Comparative Perspective</w:t>
      </w:r>
      <w:r>
        <w:rPr>
          <w:rFonts w:hint="eastAsia" w:eastAsia="宋体" w:cs="Times New Roman"/>
          <w:bCs/>
          <w:sz w:val="22"/>
          <w:szCs w:val="22"/>
        </w:rPr>
        <w:t>（2</w:t>
      </w:r>
      <w:r>
        <w:rPr>
          <w:rFonts w:eastAsia="宋体" w:cs="Times New Roman"/>
          <w:bCs/>
          <w:sz w:val="22"/>
          <w:szCs w:val="22"/>
        </w:rPr>
        <w:t>01707650019</w:t>
      </w:r>
      <w:r>
        <w:rPr>
          <w:rFonts w:hint="eastAsia" w:eastAsia="宋体" w:cs="Times New Roman"/>
          <w:bCs/>
          <w:sz w:val="22"/>
          <w:szCs w:val="22"/>
        </w:rPr>
        <w:t>）国家留学基金委与比利时荷语布鲁塞尔自由大学共同资助项目，</w:t>
      </w:r>
      <w:r>
        <w:rPr>
          <w:rFonts w:eastAsia="宋体" w:cs="Times New Roman"/>
          <w:bCs/>
          <w:sz w:val="22"/>
          <w:szCs w:val="22"/>
        </w:rPr>
        <w:t>2017-</w:t>
      </w:r>
      <w:r>
        <w:rPr>
          <w:rFonts w:hint="eastAsia" w:eastAsia="宋体" w:cs="Times New Roman"/>
          <w:bCs/>
          <w:sz w:val="22"/>
          <w:szCs w:val="22"/>
        </w:rPr>
        <w:t>2</w:t>
      </w:r>
      <w:r>
        <w:rPr>
          <w:rFonts w:eastAsia="宋体" w:cs="Times New Roman"/>
          <w:bCs/>
          <w:sz w:val="22"/>
          <w:szCs w:val="22"/>
        </w:rPr>
        <w:t>021</w:t>
      </w:r>
      <w:r>
        <w:rPr>
          <w:rFonts w:hint="eastAsia" w:eastAsia="宋体" w:cs="Times New Roman"/>
          <w:bCs/>
          <w:sz w:val="22"/>
          <w:szCs w:val="22"/>
        </w:rPr>
        <w:t>年，已结项；</w:t>
      </w:r>
    </w:p>
    <w:p>
      <w:pPr>
        <w:widowControl/>
        <w:numPr>
          <w:ilvl w:val="0"/>
          <w:numId w:val="4"/>
        </w:numPr>
        <w:spacing w:line="300" w:lineRule="auto"/>
        <w:rPr>
          <w:bCs/>
          <w:kern w:val="0"/>
          <w:sz w:val="22"/>
        </w:rPr>
      </w:pPr>
      <w:r>
        <w:rPr>
          <w:bCs/>
          <w:kern w:val="0"/>
          <w:sz w:val="22"/>
        </w:rPr>
        <w:t>China and Europe Taking Care of Healthcare Solutions</w:t>
      </w:r>
      <w:r>
        <w:rPr>
          <w:rFonts w:hint="eastAsia"/>
          <w:bCs/>
          <w:kern w:val="0"/>
          <w:sz w:val="22"/>
        </w:rPr>
        <w:t>，</w:t>
      </w:r>
      <w:r>
        <w:rPr>
          <w:bCs/>
          <w:kern w:val="0"/>
          <w:sz w:val="22"/>
        </w:rPr>
        <w:t>7th Framework Program-People Marie Curie Action-International Research Stuff Exchange Scheme (612589</w:t>
      </w:r>
      <w:r>
        <w:rPr>
          <w:rFonts w:hint="eastAsia"/>
          <w:bCs/>
          <w:kern w:val="0"/>
          <w:sz w:val="22"/>
        </w:rPr>
        <w:t>)欧盟委员会资助，欧盟项目，2</w:t>
      </w:r>
      <w:r>
        <w:rPr>
          <w:bCs/>
          <w:kern w:val="0"/>
          <w:sz w:val="22"/>
        </w:rPr>
        <w:t>017</w:t>
      </w:r>
      <w:r>
        <w:rPr>
          <w:rFonts w:hint="eastAsia"/>
          <w:bCs/>
          <w:kern w:val="0"/>
          <w:sz w:val="22"/>
        </w:rPr>
        <w:t>.</w:t>
      </w:r>
      <w:r>
        <w:rPr>
          <w:bCs/>
          <w:kern w:val="0"/>
          <w:sz w:val="22"/>
        </w:rPr>
        <w:t>05-2017.09</w:t>
      </w:r>
      <w:r>
        <w:rPr>
          <w:rFonts w:hint="eastAsia"/>
          <w:bCs/>
          <w:kern w:val="0"/>
          <w:sz w:val="22"/>
        </w:rPr>
        <w:t>，已结项；</w:t>
      </w:r>
    </w:p>
    <w:p>
      <w:pPr>
        <w:pStyle w:val="5"/>
        <w:spacing w:before="240" w:beforeAutospacing="0" w:after="0" w:afterAutospacing="0"/>
        <w:jc w:val="both"/>
        <w:rPr>
          <w:rFonts w:ascii="Times New Roman" w:hAnsi="Times New Roman" w:eastAsia="黑体" w:cs="Times New Roman"/>
          <w:bCs/>
          <w:color w:val="2F5597" w:themeColor="accent1" w:themeShade="BF"/>
          <w:sz w:val="22"/>
          <w:szCs w:val="22"/>
        </w:rPr>
      </w:pPr>
      <w:r>
        <w:rPr>
          <w:rFonts w:hint="eastAsia" w:ascii="Times New Roman" w:hAnsi="Times New Roman" w:eastAsia="黑体" w:cs="Times New Roman"/>
          <w:bCs/>
          <w:color w:val="2F5597" w:themeColor="accent1" w:themeShade="BF"/>
          <w:sz w:val="22"/>
          <w:szCs w:val="22"/>
        </w:rPr>
        <w:t>参与的课题：</w:t>
      </w:r>
    </w:p>
    <w:p>
      <w:pPr>
        <w:pStyle w:val="14"/>
        <w:numPr>
          <w:ilvl w:val="0"/>
          <w:numId w:val="5"/>
        </w:numPr>
        <w:spacing w:before="240" w:line="240" w:lineRule="auto"/>
        <w:ind w:firstLineChars="0"/>
        <w:rPr>
          <w:rFonts w:eastAsia="宋体" w:cs="Times New Roman"/>
          <w:bCs/>
          <w:sz w:val="22"/>
          <w:szCs w:val="22"/>
        </w:rPr>
      </w:pPr>
      <w:r>
        <w:rPr>
          <w:rFonts w:hint="eastAsia" w:eastAsia="宋体" w:cs="Times New Roman"/>
          <w:bCs/>
          <w:sz w:val="22"/>
          <w:szCs w:val="22"/>
        </w:rPr>
        <w:t>《中医药传统知识保护专门制度研究》（1</w:t>
      </w:r>
      <w:r>
        <w:rPr>
          <w:rFonts w:eastAsia="宋体" w:cs="Times New Roman"/>
          <w:bCs/>
          <w:sz w:val="22"/>
          <w:szCs w:val="22"/>
        </w:rPr>
        <w:t>6ZDA236</w:t>
      </w:r>
      <w:r>
        <w:rPr>
          <w:rFonts w:hint="eastAsia" w:eastAsia="宋体" w:cs="Times New Roman"/>
          <w:bCs/>
          <w:sz w:val="22"/>
          <w:szCs w:val="22"/>
        </w:rPr>
        <w:t>）国家社会科学基金重大项目，2</w:t>
      </w:r>
      <w:r>
        <w:rPr>
          <w:rFonts w:eastAsia="宋体" w:cs="Times New Roman"/>
          <w:bCs/>
          <w:sz w:val="22"/>
          <w:szCs w:val="22"/>
        </w:rPr>
        <w:t>017</w:t>
      </w:r>
      <w:r>
        <w:rPr>
          <w:rFonts w:hint="eastAsia" w:eastAsia="宋体" w:cs="Times New Roman"/>
          <w:bCs/>
          <w:sz w:val="22"/>
          <w:szCs w:val="22"/>
        </w:rPr>
        <w:t>；</w:t>
      </w:r>
    </w:p>
    <w:p>
      <w:pPr>
        <w:pStyle w:val="14"/>
        <w:numPr>
          <w:ilvl w:val="0"/>
          <w:numId w:val="5"/>
        </w:numPr>
        <w:spacing w:before="240" w:line="240" w:lineRule="auto"/>
        <w:ind w:firstLineChars="0"/>
        <w:rPr>
          <w:rFonts w:eastAsia="宋体" w:cs="Times New Roman"/>
          <w:bCs/>
          <w:sz w:val="22"/>
          <w:szCs w:val="22"/>
        </w:rPr>
      </w:pPr>
      <w:r>
        <w:rPr>
          <w:rFonts w:hint="eastAsia" w:eastAsia="宋体" w:cs="Times New Roman"/>
          <w:bCs/>
          <w:sz w:val="22"/>
          <w:szCs w:val="22"/>
        </w:rPr>
        <w:t>《生物遗传资源相关传统知识集体管理制度研究》，联合国开发计划署与生态环境部资助，2</w:t>
      </w:r>
      <w:r>
        <w:rPr>
          <w:rFonts w:eastAsia="宋体" w:cs="Times New Roman"/>
          <w:bCs/>
          <w:sz w:val="22"/>
          <w:szCs w:val="22"/>
        </w:rPr>
        <w:t>020</w:t>
      </w:r>
      <w:r>
        <w:rPr>
          <w:rFonts w:hint="eastAsia" w:eastAsia="宋体" w:cs="Times New Roman"/>
          <w:bCs/>
          <w:sz w:val="22"/>
          <w:szCs w:val="22"/>
        </w:rPr>
        <w:t>；</w:t>
      </w:r>
    </w:p>
    <w:p>
      <w:pPr>
        <w:pStyle w:val="14"/>
        <w:numPr>
          <w:ilvl w:val="0"/>
          <w:numId w:val="5"/>
        </w:numPr>
        <w:spacing w:before="240" w:line="240" w:lineRule="auto"/>
        <w:ind w:firstLineChars="0"/>
        <w:rPr>
          <w:rFonts w:eastAsia="宋体" w:cs="Times New Roman"/>
          <w:bCs/>
          <w:sz w:val="22"/>
          <w:szCs w:val="22"/>
        </w:rPr>
      </w:pPr>
      <w:r>
        <w:rPr>
          <w:rFonts w:hint="eastAsia" w:eastAsia="宋体" w:cs="Times New Roman"/>
          <w:bCs/>
          <w:sz w:val="22"/>
          <w:szCs w:val="22"/>
        </w:rPr>
        <w:t>《&lt;中药品种保护条例&gt;修订相关问题研究》，国家中药品种保护委员会资助，2</w:t>
      </w:r>
      <w:r>
        <w:rPr>
          <w:rFonts w:eastAsia="宋体" w:cs="Times New Roman"/>
          <w:bCs/>
          <w:sz w:val="22"/>
          <w:szCs w:val="22"/>
        </w:rPr>
        <w:t>016</w:t>
      </w:r>
      <w:r>
        <w:rPr>
          <w:rFonts w:hint="eastAsia" w:eastAsia="宋体" w:cs="Times New Roman"/>
          <w:bCs/>
          <w:sz w:val="22"/>
          <w:szCs w:val="22"/>
        </w:rPr>
        <w:t>；</w:t>
      </w:r>
    </w:p>
    <w:p>
      <w:pPr>
        <w:pStyle w:val="14"/>
        <w:numPr>
          <w:ilvl w:val="0"/>
          <w:numId w:val="5"/>
        </w:numPr>
        <w:spacing w:before="240" w:line="240" w:lineRule="auto"/>
        <w:ind w:firstLineChars="0"/>
        <w:rPr>
          <w:rFonts w:eastAsia="宋体" w:cs="Times New Roman"/>
          <w:bCs/>
          <w:sz w:val="22"/>
          <w:szCs w:val="22"/>
        </w:rPr>
      </w:pPr>
      <w:r>
        <w:rPr>
          <w:rFonts w:hint="eastAsia" w:eastAsia="宋体" w:cs="Times New Roman"/>
          <w:bCs/>
          <w:sz w:val="22"/>
          <w:szCs w:val="22"/>
        </w:rPr>
        <w:t xml:space="preserve">Research of </w:t>
      </w:r>
      <w:r>
        <w:rPr>
          <w:rFonts w:eastAsia="宋体" w:cs="Times New Roman"/>
          <w:bCs/>
          <w:sz w:val="22"/>
          <w:szCs w:val="22"/>
        </w:rPr>
        <w:t>C</w:t>
      </w:r>
      <w:r>
        <w:rPr>
          <w:rFonts w:hint="eastAsia" w:eastAsia="宋体" w:cs="Times New Roman"/>
          <w:bCs/>
          <w:sz w:val="22"/>
          <w:szCs w:val="22"/>
        </w:rPr>
        <w:t xml:space="preserve">ycle </w:t>
      </w:r>
      <w:r>
        <w:rPr>
          <w:rFonts w:eastAsia="宋体" w:cs="Times New Roman"/>
          <w:bCs/>
          <w:sz w:val="22"/>
          <w:szCs w:val="22"/>
        </w:rPr>
        <w:t>A</w:t>
      </w:r>
      <w:r>
        <w:rPr>
          <w:rFonts w:hint="eastAsia" w:eastAsia="宋体" w:cs="Times New Roman"/>
          <w:bCs/>
          <w:sz w:val="22"/>
          <w:szCs w:val="22"/>
        </w:rPr>
        <w:t xml:space="preserve">griculture based on </w:t>
      </w:r>
      <w:r>
        <w:rPr>
          <w:rFonts w:eastAsia="宋体" w:cs="Times New Roman"/>
          <w:bCs/>
          <w:sz w:val="22"/>
          <w:szCs w:val="22"/>
        </w:rPr>
        <w:t>S</w:t>
      </w:r>
      <w:r>
        <w:rPr>
          <w:rFonts w:hint="eastAsia" w:eastAsia="宋体" w:cs="Times New Roman"/>
          <w:bCs/>
          <w:sz w:val="22"/>
          <w:szCs w:val="22"/>
        </w:rPr>
        <w:t xml:space="preserve">ystemic </w:t>
      </w:r>
      <w:r>
        <w:rPr>
          <w:rFonts w:eastAsia="宋体" w:cs="Times New Roman"/>
          <w:bCs/>
          <w:sz w:val="22"/>
          <w:szCs w:val="22"/>
        </w:rPr>
        <w:t>D</w:t>
      </w:r>
      <w:r>
        <w:rPr>
          <w:rFonts w:hint="eastAsia" w:eastAsia="宋体" w:cs="Times New Roman"/>
          <w:bCs/>
          <w:sz w:val="22"/>
          <w:szCs w:val="22"/>
        </w:rPr>
        <w:t xml:space="preserve">esign: </w:t>
      </w:r>
      <w:r>
        <w:rPr>
          <w:rFonts w:eastAsia="宋体" w:cs="Times New Roman"/>
          <w:bCs/>
          <w:sz w:val="22"/>
          <w:szCs w:val="22"/>
        </w:rPr>
        <w:t>A C</w:t>
      </w:r>
      <w:r>
        <w:rPr>
          <w:rFonts w:hint="eastAsia" w:eastAsia="宋体" w:cs="Times New Roman"/>
          <w:bCs/>
          <w:sz w:val="22"/>
          <w:szCs w:val="22"/>
        </w:rPr>
        <w:t xml:space="preserve">ase </w:t>
      </w:r>
      <w:r>
        <w:rPr>
          <w:rFonts w:eastAsia="宋体" w:cs="Times New Roman"/>
          <w:bCs/>
          <w:sz w:val="22"/>
          <w:szCs w:val="22"/>
        </w:rPr>
        <w:t>S</w:t>
      </w:r>
      <w:r>
        <w:rPr>
          <w:rFonts w:hint="eastAsia" w:eastAsia="宋体" w:cs="Times New Roman"/>
          <w:bCs/>
          <w:sz w:val="22"/>
          <w:szCs w:val="22"/>
        </w:rPr>
        <w:t xml:space="preserve">tudy of Taisheng Farm of Chongming Island, </w:t>
      </w:r>
      <w:r>
        <w:rPr>
          <w:rFonts w:eastAsia="宋体" w:cs="Times New Roman"/>
          <w:bCs/>
          <w:sz w:val="22"/>
          <w:szCs w:val="22"/>
        </w:rPr>
        <w:t>China</w:t>
      </w:r>
      <w:r>
        <w:rPr>
          <w:rFonts w:hint="eastAsia" w:eastAsia="宋体" w:cs="Times New Roman"/>
          <w:bCs/>
          <w:sz w:val="22"/>
          <w:szCs w:val="22"/>
        </w:rPr>
        <w:t>，联合国环境规划署、拜耳-同济大学资助课题，2</w:t>
      </w:r>
      <w:r>
        <w:rPr>
          <w:rFonts w:eastAsia="宋体" w:cs="Times New Roman"/>
          <w:bCs/>
          <w:sz w:val="22"/>
          <w:szCs w:val="22"/>
        </w:rPr>
        <w:t>015</w:t>
      </w:r>
      <w:r>
        <w:rPr>
          <w:rFonts w:hint="eastAsia" w:eastAsia="宋体" w:cs="Times New Roman"/>
          <w:bCs/>
          <w:sz w:val="22"/>
          <w:szCs w:val="22"/>
        </w:rPr>
        <w:t>；</w:t>
      </w:r>
    </w:p>
    <w:p>
      <w:pPr>
        <w:pStyle w:val="14"/>
        <w:numPr>
          <w:ilvl w:val="0"/>
          <w:numId w:val="5"/>
        </w:numPr>
        <w:spacing w:before="240" w:line="240" w:lineRule="auto"/>
        <w:ind w:firstLineChars="0"/>
        <w:rPr>
          <w:rFonts w:eastAsia="宋体" w:cs="Times New Roman"/>
          <w:bCs/>
          <w:sz w:val="22"/>
          <w:szCs w:val="22"/>
        </w:rPr>
      </w:pPr>
      <w:r>
        <w:rPr>
          <w:rFonts w:hint="eastAsia" w:eastAsia="宋体" w:cs="Times New Roman"/>
          <w:bCs/>
          <w:sz w:val="22"/>
          <w:szCs w:val="22"/>
        </w:rPr>
        <w:t>《专利信息在提升专利申请质量方面的运用》，国家知识产权局项目，2</w:t>
      </w:r>
      <w:r>
        <w:rPr>
          <w:rFonts w:eastAsia="宋体" w:cs="Times New Roman"/>
          <w:bCs/>
          <w:sz w:val="22"/>
          <w:szCs w:val="22"/>
        </w:rPr>
        <w:t>014</w:t>
      </w:r>
      <w:r>
        <w:rPr>
          <w:rFonts w:hint="eastAsia" w:eastAsia="宋体" w:cs="Times New Roman"/>
          <w:bCs/>
          <w:sz w:val="22"/>
          <w:szCs w:val="22"/>
        </w:rPr>
        <w:t>；</w:t>
      </w:r>
    </w:p>
    <w:p>
      <w:pPr>
        <w:pStyle w:val="14"/>
        <w:numPr>
          <w:ilvl w:val="0"/>
          <w:numId w:val="5"/>
        </w:numPr>
        <w:spacing w:before="240" w:line="240" w:lineRule="auto"/>
        <w:ind w:firstLineChars="0"/>
        <w:rPr>
          <w:rFonts w:eastAsia="宋体" w:cs="Times New Roman"/>
          <w:bCs/>
          <w:sz w:val="22"/>
          <w:szCs w:val="22"/>
        </w:rPr>
      </w:pPr>
      <w:r>
        <w:rPr>
          <w:rFonts w:hint="eastAsia" w:eastAsia="宋体" w:cs="Times New Roman"/>
          <w:bCs/>
          <w:sz w:val="22"/>
          <w:szCs w:val="22"/>
        </w:rPr>
        <w:t>《干细胞治疗法律与政策研究》，同济大学项目，2</w:t>
      </w:r>
      <w:r>
        <w:rPr>
          <w:rFonts w:eastAsia="宋体" w:cs="Times New Roman"/>
          <w:bCs/>
          <w:sz w:val="22"/>
          <w:szCs w:val="22"/>
        </w:rPr>
        <w:t>015</w:t>
      </w:r>
      <w:r>
        <w:rPr>
          <w:rFonts w:hint="eastAsia" w:eastAsia="宋体" w:cs="Times New Roman"/>
          <w:bCs/>
          <w:sz w:val="22"/>
          <w:szCs w:val="22"/>
        </w:rPr>
        <w:t>；</w:t>
      </w:r>
    </w:p>
    <w:p>
      <w:pPr>
        <w:pStyle w:val="14"/>
        <w:numPr>
          <w:ilvl w:val="0"/>
          <w:numId w:val="5"/>
        </w:numPr>
        <w:spacing w:before="240" w:line="240" w:lineRule="auto"/>
        <w:ind w:firstLineChars="0"/>
        <w:rPr>
          <w:rFonts w:eastAsia="宋体" w:cs="Times New Roman"/>
          <w:bCs/>
          <w:sz w:val="22"/>
          <w:szCs w:val="22"/>
        </w:rPr>
      </w:pPr>
      <w:r>
        <w:rPr>
          <w:rFonts w:hint="eastAsia" w:eastAsia="宋体" w:cs="Times New Roman"/>
          <w:bCs/>
          <w:sz w:val="22"/>
          <w:szCs w:val="22"/>
        </w:rPr>
        <w:t>《亚太知识产权中心建设研究——新加坡与上海的比较》，上海市知识产权局项目，2</w:t>
      </w:r>
      <w:r>
        <w:rPr>
          <w:rFonts w:eastAsia="宋体" w:cs="Times New Roman"/>
          <w:bCs/>
          <w:sz w:val="22"/>
          <w:szCs w:val="22"/>
        </w:rPr>
        <w:t>015</w:t>
      </w:r>
      <w:r>
        <w:rPr>
          <w:rFonts w:hint="eastAsia" w:eastAsia="宋体" w:cs="Times New Roman"/>
          <w:bCs/>
          <w:sz w:val="22"/>
          <w:szCs w:val="22"/>
        </w:rPr>
        <w:t>；</w:t>
      </w:r>
    </w:p>
    <w:bookmarkEnd w:id="0"/>
    <w:sectPr>
      <w:headerReference r:id="rId4" w:type="first"/>
      <w:headerReference r:id="rId3" w:type="default"/>
      <w:footerReference r:id="rId5" w:type="default"/>
      <w:footerReference r:id="rId6" w:type="even"/>
      <w:pgSz w:w="11900" w:h="16840"/>
      <w:pgMar w:top="1440" w:right="1800" w:bottom="1440" w:left="1800" w:header="851" w:footer="992" w:gutter="0"/>
      <w:pgNumType w:fmt="numberInDash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Times New Roman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2114941361"/>
      <w:docPartObj>
        <w:docPartGallery w:val="AutoText"/>
      </w:docPartObj>
    </w:sdtPr>
    <w:sdtEndPr>
      <w:rPr>
        <w:rStyle w:val="8"/>
      </w:rPr>
    </w:sdtEndPr>
    <w:sdtContent>
      <w:p>
        <w:pPr>
          <w:pStyle w:val="2"/>
          <w:framePr w:wrap="auto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1</w:t>
        </w:r>
        <w:r>
          <w:rPr>
            <w:rStyle w:val="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1551421190"/>
      <w:docPartObj>
        <w:docPartGallery w:val="AutoText"/>
      </w:docPartObj>
    </w:sdtPr>
    <w:sdtEndPr>
      <w:rPr>
        <w:rStyle w:val="8"/>
      </w:rPr>
    </w:sdtEndPr>
    <w:sdtContent>
      <w:p>
        <w:pPr>
          <w:pStyle w:val="2"/>
          <w:framePr w:wrap="auto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  <w:color w:val="4472C4" w:themeColor="accent1"/>
        <w:spacing w:val="20"/>
        <w:sz w:val="28"/>
        <w14:textFill>
          <w14:solidFill>
            <w14:schemeClr w14:val="accent1"/>
          </w14:solidFill>
        </w14:textFill>
      </w:rPr>
      <w:alias w:val="标题"/>
      <w:id w:val="1613712270"/>
      <w:placeholder>
        <w:docPart w:val="4CF29AE91724234AAA7F52706411A20D"/>
      </w:placeholder>
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>
      <w:rPr>
        <w:rFonts w:hint="eastAsia"/>
        <w:color w:val="4472C4" w:themeColor="accent1"/>
        <w:spacing w:val="20"/>
        <w:sz w:val="28"/>
        <w14:textFill>
          <w14:solidFill>
            <w14:schemeClr w14:val="accent1"/>
          </w14:solidFill>
        </w14:textFill>
      </w:rPr>
    </w:sdtEndPr>
    <w:sdtContent>
      <w:p>
        <w:pPr>
          <w:pStyle w:val="17"/>
          <w:spacing w:after="240" w:line="264" w:lineRule="auto"/>
          <w:jc w:val="right"/>
          <w:rPr>
            <w:color w:val="4472C4" w:themeColor="accent1"/>
            <w:spacing w:val="20"/>
            <w:sz w:val="28"/>
            <w14:textFill>
              <w14:solidFill>
                <w14:schemeClr w14:val="accent1"/>
              </w14:solidFill>
            </w14:textFill>
          </w:rPr>
        </w:pPr>
        <w:r>
          <w:rPr>
            <w:rFonts w:hint="eastAsia"/>
            <w:color w:val="4472C4" w:themeColor="accent1"/>
            <w:spacing w:val="20"/>
            <w:sz w:val="28"/>
            <w14:textFill>
              <w14:solidFill>
                <w14:schemeClr w14:val="accent1"/>
              </w14:solidFill>
            </w14:textFill>
          </w:rPr>
          <w:t>高建美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after="240" w:line="264" w:lineRule="auto"/>
      <w:jc w:val="right"/>
      <w:rPr>
        <w:color w:val="4472C4" w:themeColor="accent1"/>
        <w:spacing w:val="20"/>
        <w:sz w:val="28"/>
        <w14:textFill>
          <w14:solidFill>
            <w14:schemeClr w14:val="accent1"/>
          </w14:solidFill>
        </w14:textFill>
      </w:rPr>
    </w:pPr>
    <w:r>
      <w:rPr>
        <w:rFonts w:hint="eastAsia"/>
        <w:color w:val="4472C4" w:themeColor="accent1"/>
        <w:spacing w:val="20"/>
        <w:sz w:val="28"/>
        <w14:textFill>
          <w14:solidFill>
            <w14:schemeClr w14:val="accent1"/>
          </w14:solidFill>
        </w14:textFill>
      </w:rPr>
      <w:t>简 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E3B3E"/>
    <w:multiLevelType w:val="multilevel"/>
    <w:tmpl w:val="058E3B3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079047DE"/>
    <w:multiLevelType w:val="multilevel"/>
    <w:tmpl w:val="079047D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6C6774"/>
    <w:multiLevelType w:val="multilevel"/>
    <w:tmpl w:val="216C67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E376CF"/>
    <w:multiLevelType w:val="multilevel"/>
    <w:tmpl w:val="2EE376C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20090D"/>
    <w:multiLevelType w:val="multilevel"/>
    <w:tmpl w:val="4620090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2F"/>
    <w:rsid w:val="000260DB"/>
    <w:rsid w:val="00050A65"/>
    <w:rsid w:val="00057323"/>
    <w:rsid w:val="0006778C"/>
    <w:rsid w:val="000C5BC8"/>
    <w:rsid w:val="001001DA"/>
    <w:rsid w:val="0012733A"/>
    <w:rsid w:val="00136D4F"/>
    <w:rsid w:val="0014477B"/>
    <w:rsid w:val="00160E2F"/>
    <w:rsid w:val="00171137"/>
    <w:rsid w:val="00174147"/>
    <w:rsid w:val="00174F46"/>
    <w:rsid w:val="0018130E"/>
    <w:rsid w:val="001A22B4"/>
    <w:rsid w:val="001A7E0C"/>
    <w:rsid w:val="001E0C52"/>
    <w:rsid w:val="001F40E2"/>
    <w:rsid w:val="00231E10"/>
    <w:rsid w:val="00253DDC"/>
    <w:rsid w:val="002668FE"/>
    <w:rsid w:val="00272F35"/>
    <w:rsid w:val="00290910"/>
    <w:rsid w:val="00294BDB"/>
    <w:rsid w:val="00295870"/>
    <w:rsid w:val="002A0F4E"/>
    <w:rsid w:val="002D4F1A"/>
    <w:rsid w:val="002E3B42"/>
    <w:rsid w:val="002E555A"/>
    <w:rsid w:val="0031351C"/>
    <w:rsid w:val="003200D4"/>
    <w:rsid w:val="0032353D"/>
    <w:rsid w:val="0034571C"/>
    <w:rsid w:val="0037284E"/>
    <w:rsid w:val="00374502"/>
    <w:rsid w:val="00381803"/>
    <w:rsid w:val="0038378E"/>
    <w:rsid w:val="00395106"/>
    <w:rsid w:val="00397FB2"/>
    <w:rsid w:val="003A64D5"/>
    <w:rsid w:val="003C56F9"/>
    <w:rsid w:val="003C7ADB"/>
    <w:rsid w:val="003D17AD"/>
    <w:rsid w:val="003D19C3"/>
    <w:rsid w:val="003E02DA"/>
    <w:rsid w:val="00407F75"/>
    <w:rsid w:val="00415E70"/>
    <w:rsid w:val="00420524"/>
    <w:rsid w:val="00422640"/>
    <w:rsid w:val="00425E97"/>
    <w:rsid w:val="00451889"/>
    <w:rsid w:val="00452769"/>
    <w:rsid w:val="00461EA2"/>
    <w:rsid w:val="0047235E"/>
    <w:rsid w:val="00472F1F"/>
    <w:rsid w:val="00487C2A"/>
    <w:rsid w:val="004B3E21"/>
    <w:rsid w:val="004B5A02"/>
    <w:rsid w:val="004B5E37"/>
    <w:rsid w:val="00514727"/>
    <w:rsid w:val="00514E1F"/>
    <w:rsid w:val="00530E90"/>
    <w:rsid w:val="0056271D"/>
    <w:rsid w:val="00562773"/>
    <w:rsid w:val="0057318B"/>
    <w:rsid w:val="005809F9"/>
    <w:rsid w:val="005B7DBB"/>
    <w:rsid w:val="005D7DF7"/>
    <w:rsid w:val="005E0431"/>
    <w:rsid w:val="005E11B5"/>
    <w:rsid w:val="005F562F"/>
    <w:rsid w:val="00602377"/>
    <w:rsid w:val="00602ABD"/>
    <w:rsid w:val="00603A9A"/>
    <w:rsid w:val="00641B0F"/>
    <w:rsid w:val="0065030A"/>
    <w:rsid w:val="00651CDB"/>
    <w:rsid w:val="00661B6D"/>
    <w:rsid w:val="00661BD4"/>
    <w:rsid w:val="00677757"/>
    <w:rsid w:val="0068180F"/>
    <w:rsid w:val="00692DE4"/>
    <w:rsid w:val="006B0113"/>
    <w:rsid w:val="006C28A0"/>
    <w:rsid w:val="006F2F25"/>
    <w:rsid w:val="006F463B"/>
    <w:rsid w:val="007361D8"/>
    <w:rsid w:val="007514BB"/>
    <w:rsid w:val="00791FB5"/>
    <w:rsid w:val="007C28AC"/>
    <w:rsid w:val="007F718B"/>
    <w:rsid w:val="00821B9E"/>
    <w:rsid w:val="00822798"/>
    <w:rsid w:val="00825565"/>
    <w:rsid w:val="00826F7F"/>
    <w:rsid w:val="00826FB8"/>
    <w:rsid w:val="00832ED7"/>
    <w:rsid w:val="00850289"/>
    <w:rsid w:val="00864B3A"/>
    <w:rsid w:val="008650B4"/>
    <w:rsid w:val="00874F28"/>
    <w:rsid w:val="008771E1"/>
    <w:rsid w:val="00894C50"/>
    <w:rsid w:val="008A0BFB"/>
    <w:rsid w:val="008B1A89"/>
    <w:rsid w:val="008B7315"/>
    <w:rsid w:val="008C4109"/>
    <w:rsid w:val="008C6174"/>
    <w:rsid w:val="008D05C0"/>
    <w:rsid w:val="008D4FD9"/>
    <w:rsid w:val="008D61E7"/>
    <w:rsid w:val="008E43EF"/>
    <w:rsid w:val="008E48E8"/>
    <w:rsid w:val="009003FE"/>
    <w:rsid w:val="00914142"/>
    <w:rsid w:val="00950490"/>
    <w:rsid w:val="00950E48"/>
    <w:rsid w:val="00985CFC"/>
    <w:rsid w:val="009A4166"/>
    <w:rsid w:val="009A4E4A"/>
    <w:rsid w:val="009A5F4E"/>
    <w:rsid w:val="009E48A4"/>
    <w:rsid w:val="009F117D"/>
    <w:rsid w:val="00A16BB5"/>
    <w:rsid w:val="00A72E14"/>
    <w:rsid w:val="00A73109"/>
    <w:rsid w:val="00AD434E"/>
    <w:rsid w:val="00AE3C13"/>
    <w:rsid w:val="00B13E7A"/>
    <w:rsid w:val="00B43C5B"/>
    <w:rsid w:val="00B54D28"/>
    <w:rsid w:val="00B8543D"/>
    <w:rsid w:val="00BA2610"/>
    <w:rsid w:val="00C31B36"/>
    <w:rsid w:val="00C3240D"/>
    <w:rsid w:val="00C34A42"/>
    <w:rsid w:val="00C402E9"/>
    <w:rsid w:val="00C47F4A"/>
    <w:rsid w:val="00C547A3"/>
    <w:rsid w:val="00C56F45"/>
    <w:rsid w:val="00C60CFD"/>
    <w:rsid w:val="00C6119A"/>
    <w:rsid w:val="00C80FB8"/>
    <w:rsid w:val="00C93657"/>
    <w:rsid w:val="00CA17FB"/>
    <w:rsid w:val="00CB11BC"/>
    <w:rsid w:val="00CC5E01"/>
    <w:rsid w:val="00D03785"/>
    <w:rsid w:val="00D17E7E"/>
    <w:rsid w:val="00D21F3D"/>
    <w:rsid w:val="00D33E5A"/>
    <w:rsid w:val="00D45EE5"/>
    <w:rsid w:val="00D51FAD"/>
    <w:rsid w:val="00D54742"/>
    <w:rsid w:val="00D62BA6"/>
    <w:rsid w:val="00D71C23"/>
    <w:rsid w:val="00D83F0B"/>
    <w:rsid w:val="00DB5626"/>
    <w:rsid w:val="00DC43FD"/>
    <w:rsid w:val="00E10BFD"/>
    <w:rsid w:val="00E531E2"/>
    <w:rsid w:val="00E57E0C"/>
    <w:rsid w:val="00E709D4"/>
    <w:rsid w:val="00ED58BE"/>
    <w:rsid w:val="00EE6736"/>
    <w:rsid w:val="00F051E7"/>
    <w:rsid w:val="00F34891"/>
    <w:rsid w:val="00F51A09"/>
    <w:rsid w:val="00F61D6F"/>
    <w:rsid w:val="00FE254A"/>
    <w:rsid w:val="0379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3"/>
    <w:unhideWhenUsed/>
    <w:qFormat/>
    <w:uiPriority w:val="0"/>
    <w:pPr>
      <w:widowControl/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FollowedHyperlink"/>
    <w:basedOn w:val="7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footnote reference"/>
    <w:basedOn w:val="7"/>
    <w:semiHidden/>
    <w:unhideWhenUsed/>
    <w:uiPriority w:val="99"/>
    <w:rPr>
      <w:vertAlign w:val="superscript"/>
    </w:rPr>
  </w:style>
  <w:style w:type="character" w:customStyle="1" w:styleId="12">
    <w:name w:val="脚注文本 字符"/>
    <w:basedOn w:val="7"/>
    <w:uiPriority w:val="0"/>
    <w:rPr>
      <w:rFonts w:cstheme="minorBidi"/>
      <w:sz w:val="18"/>
      <w:szCs w:val="18"/>
    </w:rPr>
  </w:style>
  <w:style w:type="character" w:customStyle="1" w:styleId="13">
    <w:name w:val="Footnote Text Char"/>
    <w:link w:val="4"/>
    <w:uiPriority w:val="0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line="400" w:lineRule="exact"/>
      <w:ind w:firstLine="420" w:firstLineChars="200"/>
    </w:pPr>
    <w:rPr>
      <w:rFonts w:cs="Times New Roman (正文 CS 字体)" w:eastAsiaTheme="minorEastAsia"/>
      <w:kern w:val="0"/>
      <w:szCs w:val="24"/>
    </w:rPr>
  </w:style>
  <w:style w:type="character" w:customStyle="1" w:styleId="15">
    <w:name w:val="Footer Char"/>
    <w:basedOn w:val="7"/>
    <w:link w:val="2"/>
    <w:uiPriority w:val="99"/>
    <w:rPr>
      <w:sz w:val="18"/>
      <w:szCs w:val="18"/>
    </w:rPr>
  </w:style>
  <w:style w:type="character" w:customStyle="1" w:styleId="16">
    <w:name w:val="Header Char"/>
    <w:basedOn w:val="7"/>
    <w:link w:val="3"/>
    <w:uiPriority w:val="99"/>
    <w:rPr>
      <w:sz w:val="18"/>
      <w:szCs w:val="18"/>
    </w:rPr>
  </w:style>
  <w:style w:type="paragraph" w:styleId="17">
    <w:name w:val="No Spacing"/>
    <w:qFormat/>
    <w:uiPriority w:val="1"/>
    <w:rPr>
      <w:rFonts w:eastAsia="Microsoft YaHei UI" w:asciiTheme="minorHAnsi" w:hAnsiTheme="minorHAnsi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CF29AE91724234AAA7F52706411A2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C2DD78-47B2-6B40-B388-A1B50D1A2C6F}"/>
      </w:docPartPr>
      <w:docPartBody>
        <w:p>
          <w:pPr>
            <w:pStyle w:val="4"/>
          </w:pPr>
          <w:r>
            <w:rPr>
              <w:color w:val="4472C4" w:themeColor="accent1"/>
              <w:spacing w:val="20"/>
              <w:sz w:val="28"/>
              <w14:textFill>
                <w14:solidFill>
                  <w14:schemeClr w14:val="accent1"/>
                </w14:solidFill>
              </w14:textFill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32"/>
    <w:rsid w:val="00246BF1"/>
    <w:rsid w:val="002C76E4"/>
    <w:rsid w:val="0049310B"/>
    <w:rsid w:val="00543074"/>
    <w:rsid w:val="00583732"/>
    <w:rsid w:val="006E1E15"/>
    <w:rsid w:val="00897D69"/>
    <w:rsid w:val="00AB708F"/>
    <w:rsid w:val="00C36563"/>
    <w:rsid w:val="00D12C41"/>
    <w:rsid w:val="00D6633F"/>
    <w:rsid w:val="00DC3310"/>
    <w:rsid w:val="00E02380"/>
    <w:rsid w:val="00EB751E"/>
    <w:rsid w:val="00EE561D"/>
    <w:rsid w:val="00F2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CF29AE91724234AAA7F52706411A2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2183</Characters>
  <Lines>18</Lines>
  <Paragraphs>5</Paragraphs>
  <TotalTime>87</TotalTime>
  <ScaleCrop>false</ScaleCrop>
  <LinksUpToDate>false</LinksUpToDate>
  <CharactersWithSpaces>2560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2022-06-28T05:01:00Z</dcterms:created>
  <dc:creator>刘迪</dc:creator>
  <cp:lastModifiedBy>Administrator</cp:lastModifiedBy>
  <cp:lastPrinted>2022-06-28T05:14:00Z</cp:lastPrinted>
  <dcterms:modified xsi:type="dcterms:W3CDTF">2022-06-29T01:20:28Z</dcterms:modified>
  <dc:title>高建美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3FA21AB1FAF240EA8FAE0D3DA57E5DF1</vt:lpwstr>
  </property>
</Properties>
</file>